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1A525" w14:textId="4C6ED651" w:rsidR="00A3521A" w:rsidRPr="0066709A" w:rsidRDefault="00E40141" w:rsidP="0066709A">
      <w:pPr>
        <w:pStyle w:val="papertitle"/>
        <w:spacing w:after="0"/>
        <w:ind w:firstLine="283"/>
        <w:rPr>
          <w:rFonts w:ascii="Arial" w:eastAsia="MS Mincho" w:hAnsi="Arial" w:cs="Arial"/>
        </w:rPr>
      </w:pPr>
      <w:r>
        <w:rPr>
          <w:rFonts w:ascii="Arial" w:eastAsia="MS Mincho" w:hAnsi="Arial" w:cs="Arial"/>
        </w:rPr>
        <w:t>From Debt to Decision: An Engineering Economic Analysis of Kenya’s Fiscal Metrics</w:t>
      </w:r>
    </w:p>
    <w:p w14:paraId="761A7037" w14:textId="27C5832F" w:rsidR="00B37282" w:rsidRDefault="00B37282" w:rsidP="00DF25FD">
      <w:pPr>
        <w:pStyle w:val="papersubtitle"/>
        <w:spacing w:before="120" w:after="0"/>
        <w:ind w:firstLine="283"/>
        <w:rPr>
          <w:rFonts w:ascii="Arial" w:eastAsia="MS Mincho" w:hAnsi="Arial" w:cs="Arial"/>
          <w:sz w:val="20"/>
        </w:rPr>
        <w:sectPr w:rsidR="00B37282" w:rsidSect="0066709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247" w:right="850" w:bottom="1191" w:left="850" w:header="567" w:footer="567" w:gutter="0"/>
          <w:pgNumType w:start="1"/>
          <w:cols w:space="720"/>
          <w:docGrid w:linePitch="360"/>
        </w:sectPr>
      </w:pPr>
    </w:p>
    <w:p w14:paraId="170FD42B" w14:textId="387FA1F2" w:rsidR="00A3521A" w:rsidRPr="00DF25FD" w:rsidRDefault="00E40141" w:rsidP="00B37282">
      <w:pPr>
        <w:pStyle w:val="Author"/>
        <w:spacing w:before="120" w:after="0"/>
        <w:ind w:firstLine="283"/>
        <w:rPr>
          <w:rFonts w:ascii="Arial" w:eastAsia="MS Mincho" w:hAnsi="Arial" w:cs="Arial"/>
          <w:b/>
          <w:bCs/>
          <w:sz w:val="20"/>
        </w:rPr>
      </w:pPr>
      <w:r>
        <w:rPr>
          <w:rFonts w:ascii="Arial" w:eastAsia="MS Mincho" w:hAnsi="Arial" w:cs="Arial"/>
          <w:b/>
          <w:bCs/>
          <w:sz w:val="20"/>
        </w:rPr>
        <w:t>Mr. Robin Wachania</w:t>
      </w:r>
    </w:p>
    <w:p w14:paraId="554B4319" w14:textId="19BF94FF" w:rsidR="00A3521A" w:rsidRPr="0066709A" w:rsidRDefault="00DF25FD" w:rsidP="0066709A">
      <w:pPr>
        <w:pStyle w:val="Affiliation"/>
        <w:ind w:firstLine="283"/>
        <w:rPr>
          <w:rFonts w:ascii="Arial" w:eastAsia="MS Mincho" w:hAnsi="Arial" w:cs="Arial"/>
        </w:rPr>
      </w:pPr>
      <w:r>
        <w:rPr>
          <w:rFonts w:ascii="Arial" w:eastAsia="MS Mincho" w:hAnsi="Arial" w:cs="Arial"/>
        </w:rPr>
        <w:t>Industrial Management Program</w:t>
      </w:r>
    </w:p>
    <w:p w14:paraId="4359E8E1" w14:textId="0B717967" w:rsidR="00A3521A" w:rsidRPr="0066709A" w:rsidRDefault="00DF25FD" w:rsidP="0066709A">
      <w:pPr>
        <w:pStyle w:val="Affiliation"/>
        <w:ind w:firstLine="283"/>
        <w:rPr>
          <w:rFonts w:ascii="Arial" w:eastAsia="MS Mincho" w:hAnsi="Arial" w:cs="Arial"/>
        </w:rPr>
      </w:pPr>
      <w:r>
        <w:rPr>
          <w:rFonts w:ascii="Arial" w:eastAsia="MS Mincho" w:hAnsi="Arial" w:cs="Arial"/>
        </w:rPr>
        <w:t>University of Central Missouri</w:t>
      </w:r>
    </w:p>
    <w:p w14:paraId="6B47CE8F" w14:textId="7B233173" w:rsidR="00A3521A" w:rsidRPr="00BD3833" w:rsidRDefault="00DF25FD" w:rsidP="0066709A">
      <w:pPr>
        <w:pStyle w:val="Affiliation"/>
        <w:ind w:firstLine="283"/>
        <w:rPr>
          <w:rFonts w:ascii="Arial" w:eastAsia="MS Mincho" w:hAnsi="Arial" w:cs="Arial"/>
        </w:rPr>
      </w:pPr>
      <w:r w:rsidRPr="00BD3833">
        <w:rPr>
          <w:rFonts w:ascii="Arial" w:eastAsia="MS Mincho" w:hAnsi="Arial" w:cs="Arial"/>
        </w:rPr>
        <w:t>Warrensburg, MO, U</w:t>
      </w:r>
      <w:r w:rsidR="00702CC0" w:rsidRPr="00BD3833">
        <w:rPr>
          <w:rFonts w:ascii="Arial" w:eastAsia="MS Mincho" w:hAnsi="Arial" w:cs="Arial"/>
        </w:rPr>
        <w:t>S</w:t>
      </w:r>
      <w:r w:rsidRPr="00BD3833">
        <w:rPr>
          <w:rFonts w:ascii="Arial" w:eastAsia="MS Mincho" w:hAnsi="Arial" w:cs="Arial"/>
        </w:rPr>
        <w:t>A.</w:t>
      </w:r>
    </w:p>
    <w:p w14:paraId="3CCC4773" w14:textId="0D520BC6" w:rsidR="00A3521A" w:rsidRPr="00E40141" w:rsidRDefault="00444EAA" w:rsidP="0066709A">
      <w:pPr>
        <w:pStyle w:val="Affiliation"/>
        <w:ind w:firstLine="283"/>
        <w:rPr>
          <w:rFonts w:ascii="Arial" w:eastAsia="MS Mincho" w:hAnsi="Arial" w:cs="Arial"/>
          <w:lang w:val="de-DE"/>
        </w:rPr>
      </w:pPr>
      <w:r>
        <w:rPr>
          <w:rFonts w:ascii="Arial" w:eastAsia="MS Mincho" w:hAnsi="Arial" w:cs="Arial"/>
          <w:lang w:val="de-DE"/>
        </w:rPr>
        <w:t>RXW</w:t>
      </w:r>
      <w:r w:rsidR="00F65FE8">
        <w:rPr>
          <w:rFonts w:ascii="Arial" w:eastAsia="MS Mincho" w:hAnsi="Arial" w:cs="Arial"/>
          <w:lang w:val="de-DE"/>
        </w:rPr>
        <w:t>49</w:t>
      </w:r>
      <w:r>
        <w:rPr>
          <w:rFonts w:ascii="Arial" w:eastAsia="MS Mincho" w:hAnsi="Arial" w:cs="Arial"/>
          <w:lang w:val="de-DE"/>
        </w:rPr>
        <w:t>20</w:t>
      </w:r>
      <w:r w:rsidR="00F65FE8">
        <w:rPr>
          <w:rFonts w:ascii="Arial" w:eastAsia="MS Mincho" w:hAnsi="Arial" w:cs="Arial"/>
          <w:lang w:val="de-DE"/>
        </w:rPr>
        <w:t>0</w:t>
      </w:r>
      <w:r w:rsidR="00DF25FD" w:rsidRPr="00E40141">
        <w:rPr>
          <w:rFonts w:ascii="Arial" w:eastAsia="MS Mincho" w:hAnsi="Arial" w:cs="Arial"/>
          <w:lang w:val="de-DE"/>
        </w:rPr>
        <w:t>@ucmo.edu</w:t>
      </w:r>
    </w:p>
    <w:p w14:paraId="03DDD83A" w14:textId="061827CD" w:rsidR="00A3521A" w:rsidRPr="001C79BF" w:rsidRDefault="00DF25FD" w:rsidP="00B37282">
      <w:pPr>
        <w:pStyle w:val="Author"/>
        <w:spacing w:before="120" w:after="0"/>
        <w:ind w:firstLine="283"/>
        <w:rPr>
          <w:rFonts w:ascii="Arial" w:eastAsia="MS Mincho" w:hAnsi="Arial" w:cs="Arial"/>
          <w:b/>
          <w:bCs/>
          <w:sz w:val="20"/>
          <w:lang w:val="de-DE"/>
        </w:rPr>
      </w:pPr>
      <w:r w:rsidRPr="001C79BF">
        <w:rPr>
          <w:rFonts w:ascii="Arial" w:eastAsia="MS Mincho" w:hAnsi="Arial" w:cs="Arial"/>
          <w:b/>
          <w:bCs/>
          <w:sz w:val="20"/>
          <w:lang w:val="de-DE"/>
        </w:rPr>
        <w:t>Jeff Ulmer, Ph.D.</w:t>
      </w:r>
    </w:p>
    <w:p w14:paraId="1E39D004" w14:textId="2E214C8F" w:rsidR="00DF25FD" w:rsidRPr="0066709A" w:rsidRDefault="00B22243" w:rsidP="00DF25FD">
      <w:pPr>
        <w:pStyle w:val="Affiliation"/>
        <w:ind w:firstLine="283"/>
        <w:rPr>
          <w:rFonts w:ascii="Arial" w:eastAsia="MS Mincho" w:hAnsi="Arial" w:cs="Arial"/>
        </w:rPr>
      </w:pPr>
      <w:r>
        <w:rPr>
          <w:rFonts w:ascii="Arial" w:eastAsia="MS Mincho" w:hAnsi="Arial" w:cs="Arial"/>
        </w:rPr>
        <w:t>Industrial</w:t>
      </w:r>
      <w:r w:rsidR="00DF25FD">
        <w:rPr>
          <w:rFonts w:ascii="Arial" w:eastAsia="MS Mincho" w:hAnsi="Arial" w:cs="Arial"/>
        </w:rPr>
        <w:t xml:space="preserve"> Management Program</w:t>
      </w:r>
    </w:p>
    <w:p w14:paraId="2AEDE5D9" w14:textId="77777777" w:rsidR="00DF25FD" w:rsidRPr="0066709A" w:rsidRDefault="00DF25FD" w:rsidP="00DF25FD">
      <w:pPr>
        <w:pStyle w:val="Affiliation"/>
        <w:ind w:firstLine="283"/>
        <w:rPr>
          <w:rFonts w:ascii="Arial" w:eastAsia="MS Mincho" w:hAnsi="Arial" w:cs="Arial"/>
        </w:rPr>
      </w:pPr>
      <w:r>
        <w:rPr>
          <w:rFonts w:ascii="Arial" w:eastAsia="MS Mincho" w:hAnsi="Arial" w:cs="Arial"/>
        </w:rPr>
        <w:t>University of Central Missouri</w:t>
      </w:r>
    </w:p>
    <w:p w14:paraId="039778BF" w14:textId="293A4851" w:rsidR="00DF25FD" w:rsidRPr="00BD3833" w:rsidRDefault="00DF25FD" w:rsidP="00DF25FD">
      <w:pPr>
        <w:pStyle w:val="Affiliation"/>
        <w:ind w:firstLine="283"/>
        <w:rPr>
          <w:rFonts w:ascii="Arial" w:eastAsia="MS Mincho" w:hAnsi="Arial" w:cs="Arial"/>
          <w:lang w:val="de-DE"/>
        </w:rPr>
      </w:pPr>
      <w:r w:rsidRPr="00BD3833">
        <w:rPr>
          <w:rFonts w:ascii="Arial" w:eastAsia="MS Mincho" w:hAnsi="Arial" w:cs="Arial"/>
          <w:lang w:val="de-DE"/>
        </w:rPr>
        <w:t>Warrensburg, MO, U</w:t>
      </w:r>
      <w:r w:rsidR="00702CC0" w:rsidRPr="00BD3833">
        <w:rPr>
          <w:rFonts w:ascii="Arial" w:eastAsia="MS Mincho" w:hAnsi="Arial" w:cs="Arial"/>
          <w:lang w:val="de-DE"/>
        </w:rPr>
        <w:t>S</w:t>
      </w:r>
      <w:r w:rsidRPr="00BD3833">
        <w:rPr>
          <w:rFonts w:ascii="Arial" w:eastAsia="MS Mincho" w:hAnsi="Arial" w:cs="Arial"/>
          <w:lang w:val="de-DE"/>
        </w:rPr>
        <w:t>A.</w:t>
      </w:r>
    </w:p>
    <w:p w14:paraId="64FFF2BA" w14:textId="63FC2C9D" w:rsidR="00DF25FD" w:rsidRPr="00BD3833" w:rsidRDefault="00DF25FD" w:rsidP="00DF25FD">
      <w:pPr>
        <w:pStyle w:val="Affiliation"/>
        <w:ind w:firstLine="283"/>
        <w:rPr>
          <w:rFonts w:ascii="Arial" w:eastAsia="MS Mincho" w:hAnsi="Arial" w:cs="Arial"/>
          <w:lang w:val="de-DE"/>
        </w:rPr>
      </w:pPr>
      <w:r w:rsidRPr="00BD3833">
        <w:rPr>
          <w:rFonts w:ascii="Arial" w:eastAsia="MS Mincho" w:hAnsi="Arial" w:cs="Arial"/>
          <w:lang w:val="de-DE"/>
        </w:rPr>
        <w:t>julmer@ucmo.edu</w:t>
      </w:r>
    </w:p>
    <w:p w14:paraId="65C53199" w14:textId="77777777" w:rsidR="00B37282" w:rsidRPr="00BD3833" w:rsidRDefault="00B37282" w:rsidP="0066709A">
      <w:pPr>
        <w:pStyle w:val="Affiliation"/>
        <w:ind w:firstLine="283"/>
        <w:rPr>
          <w:rFonts w:ascii="Arial" w:eastAsia="MS Mincho" w:hAnsi="Arial" w:cs="Arial"/>
          <w:lang w:val="de-DE"/>
        </w:rPr>
        <w:sectPr w:rsidR="00B37282" w:rsidRPr="00BD3833" w:rsidSect="00B37282">
          <w:type w:val="continuous"/>
          <w:pgSz w:w="11907" w:h="16839" w:code="9"/>
          <w:pgMar w:top="1247" w:right="850" w:bottom="1191" w:left="850" w:header="567" w:footer="567" w:gutter="0"/>
          <w:pgNumType w:start="1"/>
          <w:cols w:num="2" w:space="720"/>
          <w:docGrid w:linePitch="360"/>
        </w:sectPr>
      </w:pPr>
    </w:p>
    <w:p w14:paraId="684E4298" w14:textId="57B7E823" w:rsidR="0066709A" w:rsidRPr="00BD3833" w:rsidRDefault="0066709A" w:rsidP="005404F5">
      <w:pPr>
        <w:pStyle w:val="Affiliation"/>
        <w:jc w:val="both"/>
        <w:rPr>
          <w:rFonts w:ascii="Arial" w:eastAsia="MS Mincho" w:hAnsi="Arial" w:cs="Arial"/>
          <w:lang w:val="de-DE"/>
        </w:rPr>
        <w:sectPr w:rsidR="0066709A" w:rsidRPr="00BD3833" w:rsidSect="0066709A">
          <w:type w:val="continuous"/>
          <w:pgSz w:w="11907" w:h="16839" w:code="9"/>
          <w:pgMar w:top="1247" w:right="850" w:bottom="1191" w:left="850" w:header="567" w:footer="567" w:gutter="0"/>
          <w:pgNumType w:start="1"/>
          <w:cols w:space="720"/>
          <w:docGrid w:linePitch="360"/>
        </w:sectPr>
      </w:pPr>
    </w:p>
    <w:p w14:paraId="6ACFD115" w14:textId="73374180" w:rsidR="00A3521A" w:rsidRPr="009266F3" w:rsidRDefault="00A3521A" w:rsidP="00FC4AE3">
      <w:pPr>
        <w:pStyle w:val="Abstract"/>
        <w:spacing w:after="120"/>
        <w:ind w:firstLine="283"/>
        <w:rPr>
          <w:rFonts w:ascii="Arial" w:eastAsia="MS Mincho" w:hAnsi="Arial" w:cs="Arial"/>
          <w:sz w:val="20"/>
        </w:rPr>
      </w:pPr>
      <w:r w:rsidRPr="009266F3">
        <w:rPr>
          <w:rFonts w:ascii="Arial" w:eastAsia="MS Mincho" w:hAnsi="Arial" w:cs="Arial"/>
          <w:i/>
          <w:iCs/>
          <w:sz w:val="20"/>
        </w:rPr>
        <w:t>Abstract</w:t>
      </w:r>
      <w:r w:rsidRPr="009266F3">
        <w:rPr>
          <w:rFonts w:ascii="Arial" w:eastAsia="MS Mincho" w:hAnsi="Arial" w:cs="Arial"/>
          <w:sz w:val="20"/>
        </w:rPr>
        <w:t>—</w:t>
      </w:r>
      <w:r w:rsidR="00DF25FD" w:rsidRPr="009266F3">
        <w:t xml:space="preserve"> </w:t>
      </w:r>
      <w:r w:rsidR="00243B85" w:rsidRPr="009266F3">
        <w:rPr>
          <w:rFonts w:ascii="Arial" w:hAnsi="Arial" w:cs="Arial"/>
          <w:sz w:val="20"/>
        </w:rPr>
        <w:t xml:space="preserve">This research paper </w:t>
      </w:r>
      <w:r w:rsidR="000F1E80">
        <w:rPr>
          <w:rFonts w:ascii="Arial" w:hAnsi="Arial" w:cs="Arial"/>
          <w:sz w:val="20"/>
        </w:rPr>
        <w:t>explores</w:t>
      </w:r>
      <w:r w:rsidR="00243B85" w:rsidRPr="009266F3">
        <w:rPr>
          <w:rFonts w:ascii="Arial" w:hAnsi="Arial" w:cs="Arial"/>
          <w:sz w:val="20"/>
        </w:rPr>
        <w:t xml:space="preserve"> the impact of domestic borrowing as incurred by the Kenyan government on inflation, showing how rising debt levels influence macroeconomic stability. As the Kenyan government relies increasingly on domestic borrowing to finance financial deficits, it is </w:t>
      </w:r>
      <w:r w:rsidR="000F1E80">
        <w:rPr>
          <w:rFonts w:ascii="Arial" w:hAnsi="Arial" w:cs="Arial"/>
          <w:sz w:val="20"/>
        </w:rPr>
        <w:t>essential</w:t>
      </w:r>
      <w:r w:rsidR="00243B85" w:rsidRPr="009266F3">
        <w:rPr>
          <w:rFonts w:ascii="Arial" w:hAnsi="Arial" w:cs="Arial"/>
          <w:sz w:val="20"/>
        </w:rPr>
        <w:t xml:space="preserve"> to understand the mechanisms through which such debts affect inflationary measures within the country. Domestic debt may contribute to inflation by increasing </w:t>
      </w:r>
      <w:r w:rsidR="000F1E80">
        <w:rPr>
          <w:rFonts w:ascii="Arial" w:hAnsi="Arial" w:cs="Arial"/>
          <w:sz w:val="20"/>
        </w:rPr>
        <w:t xml:space="preserve">the </w:t>
      </w:r>
      <w:r w:rsidR="00243B85" w:rsidRPr="009266F3">
        <w:rPr>
          <w:rFonts w:ascii="Arial" w:hAnsi="Arial" w:cs="Arial"/>
          <w:sz w:val="20"/>
        </w:rPr>
        <w:t>money supply through central bank financing, crowding out in the private bank sector segments, and influencing expectations of future price levels. This study shall adopt a systematic approach to analyze these relationships</w:t>
      </w:r>
      <w:r w:rsidR="000F1E80">
        <w:rPr>
          <w:rFonts w:ascii="Arial" w:hAnsi="Arial" w:cs="Arial"/>
          <w:sz w:val="20"/>
        </w:rPr>
        <w:t>, focusing</w:t>
      </w:r>
      <w:r w:rsidR="00243B85" w:rsidRPr="009266F3">
        <w:rPr>
          <w:rFonts w:ascii="Arial" w:hAnsi="Arial" w:cs="Arial"/>
          <w:sz w:val="20"/>
        </w:rPr>
        <w:t xml:space="preserve"> on identifying feedback loops between governmental growth and money supply, inflation rates, and private sector investments. Through systematic analysis, this research shall understand and contribute to the body of knowledge on the intersection between fiscal policies and inflation dynamics within Kenyan economics.</w:t>
      </w:r>
    </w:p>
    <w:p w14:paraId="61AC92CD" w14:textId="7B08CBD3" w:rsidR="00665D5C" w:rsidRPr="009266F3" w:rsidRDefault="00A3521A" w:rsidP="000139DC">
      <w:pPr>
        <w:pStyle w:val="keywords"/>
        <w:pBdr>
          <w:top w:val="single" w:sz="4" w:space="1" w:color="auto"/>
          <w:left w:val="single" w:sz="4" w:space="4" w:color="auto"/>
          <w:bottom w:val="single" w:sz="4" w:space="1" w:color="auto"/>
          <w:right w:val="single" w:sz="4" w:space="4" w:color="auto"/>
        </w:pBdr>
        <w:spacing w:before="120"/>
        <w:ind w:firstLine="283"/>
        <w:jc w:val="left"/>
        <w:rPr>
          <w:rFonts w:ascii="Arial" w:eastAsia="MS Mincho" w:hAnsi="Arial" w:cs="Arial"/>
          <w:sz w:val="20"/>
        </w:rPr>
      </w:pPr>
      <w:r w:rsidRPr="009266F3">
        <w:rPr>
          <w:rFonts w:ascii="Arial" w:eastAsia="MS Mincho" w:hAnsi="Arial" w:cs="Arial"/>
          <w:sz w:val="20"/>
        </w:rPr>
        <w:t>Keywords—</w:t>
      </w:r>
      <w:r w:rsidR="00243B85" w:rsidRPr="009266F3">
        <w:rPr>
          <w:rFonts w:ascii="Arial" w:eastAsia="MS Mincho" w:hAnsi="Arial" w:cs="Arial"/>
          <w:sz w:val="20"/>
        </w:rPr>
        <w:t xml:space="preserve">Kenya, </w:t>
      </w:r>
      <w:r w:rsidR="009266F3" w:rsidRPr="009266F3">
        <w:rPr>
          <w:rFonts w:ascii="Arial" w:eastAsia="MS Mincho" w:hAnsi="Arial" w:cs="Arial"/>
          <w:sz w:val="20"/>
        </w:rPr>
        <w:t>Inflation, Finance</w:t>
      </w:r>
    </w:p>
    <w:p w14:paraId="09E1821A" w14:textId="1422FB93" w:rsidR="00A3521A" w:rsidRPr="00667A60" w:rsidRDefault="008C77A3" w:rsidP="006255F7">
      <w:pPr>
        <w:pStyle w:val="Heading1"/>
        <w:tabs>
          <w:tab w:val="num" w:pos="576"/>
        </w:tabs>
        <w:spacing w:before="120" w:after="120"/>
        <w:ind w:firstLine="283"/>
        <w:jc w:val="both"/>
        <w:rPr>
          <w:rFonts w:ascii="Arial" w:eastAsia="MS Mincho" w:hAnsi="Arial" w:cs="Arial"/>
        </w:rPr>
      </w:pPr>
      <w:r w:rsidRPr="00667A60">
        <w:rPr>
          <w:rFonts w:ascii="Arial" w:eastAsia="MS Mincho" w:hAnsi="Arial" w:cs="Arial"/>
        </w:rPr>
        <w:t>Introduction</w:t>
      </w:r>
    </w:p>
    <w:p w14:paraId="3F43866D" w14:textId="7DB947EB" w:rsidR="00FD457B" w:rsidRPr="00E40141" w:rsidRDefault="00DF25FD" w:rsidP="00FD457B">
      <w:pPr>
        <w:pStyle w:val="BodyText"/>
        <w:spacing w:before="120"/>
        <w:ind w:firstLine="283"/>
        <w:rPr>
          <w:rFonts w:ascii="Arial" w:hAnsi="Arial" w:cs="Arial"/>
          <w:highlight w:val="yellow"/>
        </w:rPr>
      </w:pPr>
      <w:r w:rsidRPr="00667A60">
        <w:rPr>
          <w:rFonts w:ascii="Arial" w:hAnsi="Arial" w:cs="Arial"/>
        </w:rPr>
        <w:tab/>
      </w:r>
      <w:r w:rsidR="00124447" w:rsidRPr="00667A60">
        <w:rPr>
          <w:rFonts w:ascii="Arial" w:hAnsi="Arial" w:cs="Arial"/>
        </w:rPr>
        <w:t>Like many other developing economies in the Global South, Kenya is facing an ever-growing burden of debt, domestic and external. Domestic debt, in particular, is a key concern</w:t>
      </w:r>
      <w:r w:rsidR="00124447" w:rsidRPr="00124447">
        <w:rPr>
          <w:rFonts w:ascii="Arial" w:hAnsi="Arial" w:cs="Arial"/>
        </w:rPr>
        <w:t xml:space="preserve"> as it shapes the country’s macroeconomic landscape. Over the years, the Kenyan government has relied on domestic borrowing to finance its financial deficits, with debt reaching alarming levels. The majority of this debt is audacious debt, which has come under scrutiny as it was not allowed and vetted by the legislative arm of the government, which happens to be the parliament. This reliance on debt, coupled with opulence in government expenditure and laxity in fiscal management, has profound implications for inflation and overall economic stability </w:t>
      </w:r>
      <w:r w:rsidR="006751CD">
        <w:rPr>
          <w:rFonts w:ascii="Arial" w:hAnsi="Arial" w:cs="Arial"/>
        </w:rPr>
        <w:t>[1]</w:t>
      </w:r>
      <w:r w:rsidR="00124447" w:rsidRPr="00124447">
        <w:rPr>
          <w:rFonts w:ascii="Arial" w:hAnsi="Arial" w:cs="Arial"/>
        </w:rPr>
        <w:t xml:space="preserve">. </w:t>
      </w:r>
    </w:p>
    <w:p w14:paraId="43FBF280" w14:textId="0BA1243C" w:rsidR="00371340" w:rsidRDefault="00371340" w:rsidP="001E24BB">
      <w:pPr>
        <w:pStyle w:val="BodyText"/>
        <w:spacing w:before="120"/>
        <w:ind w:firstLine="283"/>
        <w:rPr>
          <w:rFonts w:ascii="Arial" w:hAnsi="Arial" w:cs="Arial"/>
        </w:rPr>
      </w:pPr>
      <w:r w:rsidRPr="00371340">
        <w:rPr>
          <w:rFonts w:ascii="Arial" w:hAnsi="Arial" w:cs="Arial"/>
        </w:rPr>
        <w:t xml:space="preserve">In recent months, Kenya’s fiscal policies have sparked widespread debate, which has caused protests surrounding the Finance Bill of 2024. This bill proposed numerous tax hikes and levies aimed at increasing government revenue and addressing rising public debt </w:t>
      </w:r>
      <w:r w:rsidR="006751CD">
        <w:rPr>
          <w:rFonts w:ascii="Arial" w:hAnsi="Arial" w:cs="Arial"/>
        </w:rPr>
        <w:t>[2]</w:t>
      </w:r>
      <w:r w:rsidRPr="00371340">
        <w:rPr>
          <w:rFonts w:ascii="Arial" w:hAnsi="Arial" w:cs="Arial"/>
        </w:rPr>
        <w:t xml:space="preserve">. However, this bill and its proposals were met with public outcry and protests as many business groups, individuals, and social groups perceived it as government outreach that would reduce disposable income for businesses and individuals. </w:t>
      </w:r>
      <w:r w:rsidRPr="00371340">
        <w:rPr>
          <w:rFonts w:ascii="Arial" w:hAnsi="Arial" w:cs="Arial"/>
        </w:rPr>
        <w:t xml:space="preserve">Government critics pointed to the reckless spending and the lack of transparency, alleging that </w:t>
      </w:r>
      <w:r w:rsidR="00F7669E">
        <w:rPr>
          <w:rFonts w:ascii="Arial" w:hAnsi="Arial" w:cs="Arial"/>
        </w:rPr>
        <w:t xml:space="preserve">public officials and politicians often misappropriated funds for different government expenditures and projects </w:t>
      </w:r>
      <w:r w:rsidR="00E6437A">
        <w:rPr>
          <w:rFonts w:ascii="Arial" w:hAnsi="Arial" w:cs="Arial"/>
        </w:rPr>
        <w:t>[2]</w:t>
      </w:r>
      <w:r w:rsidRPr="00371340">
        <w:rPr>
          <w:rFonts w:ascii="Arial" w:hAnsi="Arial" w:cs="Arial"/>
        </w:rPr>
        <w:t>.</w:t>
      </w:r>
      <w:r w:rsidR="00317514">
        <w:rPr>
          <w:rFonts w:ascii="Arial" w:hAnsi="Arial" w:cs="Arial"/>
        </w:rPr>
        <w:t xml:space="preserve"> </w:t>
      </w:r>
      <w:r w:rsidRPr="00371340">
        <w:rPr>
          <w:rFonts w:ascii="Arial" w:hAnsi="Arial" w:cs="Arial"/>
        </w:rPr>
        <w:t xml:space="preserve">This perception of political theft and rampant corruption is essential to understanding </w:t>
      </w:r>
      <w:r w:rsidR="00F7669E">
        <w:rPr>
          <w:rFonts w:ascii="Arial" w:hAnsi="Arial" w:cs="Arial"/>
        </w:rPr>
        <w:t>Kenya's broader issue of inflation</w:t>
      </w:r>
      <w:r w:rsidRPr="00371340">
        <w:rPr>
          <w:rFonts w:ascii="Arial" w:hAnsi="Arial" w:cs="Arial"/>
        </w:rPr>
        <w:t xml:space="preserve">. Excessive spending by the government, especially on non-productive and politically motivated projects, has led to inflation. This causes the government to borrow more to finance its expenditure, which leads to </w:t>
      </w:r>
      <w:r w:rsidR="00F7669E">
        <w:rPr>
          <w:rFonts w:ascii="Arial" w:hAnsi="Arial" w:cs="Arial"/>
        </w:rPr>
        <w:t>expanding</w:t>
      </w:r>
      <w:r w:rsidRPr="00371340">
        <w:rPr>
          <w:rFonts w:ascii="Arial" w:hAnsi="Arial" w:cs="Arial"/>
        </w:rPr>
        <w:t xml:space="preserve"> the money supply, often without </w:t>
      </w:r>
      <w:r w:rsidR="00F7669E">
        <w:rPr>
          <w:rFonts w:ascii="Arial" w:hAnsi="Arial" w:cs="Arial"/>
        </w:rPr>
        <w:t>increased</w:t>
      </w:r>
      <w:r w:rsidRPr="00371340">
        <w:rPr>
          <w:rFonts w:ascii="Arial" w:hAnsi="Arial" w:cs="Arial"/>
        </w:rPr>
        <w:t xml:space="preserve"> national output. The imbalance between demand and supply of goods and services</w:t>
      </w:r>
      <w:r w:rsidR="00F7669E">
        <w:rPr>
          <w:rFonts w:ascii="Arial" w:hAnsi="Arial" w:cs="Arial"/>
        </w:rPr>
        <w:t>, driven by excessive economic liquidity,</w:t>
      </w:r>
      <w:r w:rsidRPr="00371340">
        <w:rPr>
          <w:rFonts w:ascii="Arial" w:hAnsi="Arial" w:cs="Arial"/>
        </w:rPr>
        <w:t xml:space="preserve"> leads to inflation in the country </w:t>
      </w:r>
      <w:r w:rsidR="00E6437A">
        <w:rPr>
          <w:rFonts w:ascii="Arial" w:hAnsi="Arial" w:cs="Arial"/>
        </w:rPr>
        <w:t>[2]</w:t>
      </w:r>
      <w:r w:rsidRPr="00371340">
        <w:rPr>
          <w:rFonts w:ascii="Arial" w:hAnsi="Arial" w:cs="Arial"/>
        </w:rPr>
        <w:t xml:space="preserve">. </w:t>
      </w:r>
    </w:p>
    <w:p w14:paraId="623D2319" w14:textId="0E3F485C" w:rsidR="0026527A" w:rsidRDefault="0026527A" w:rsidP="001E24BB">
      <w:pPr>
        <w:pStyle w:val="BodyText"/>
        <w:spacing w:before="120"/>
        <w:ind w:firstLine="283"/>
        <w:rPr>
          <w:rFonts w:ascii="Arial" w:hAnsi="Arial" w:cs="Arial"/>
        </w:rPr>
      </w:pPr>
      <w:r w:rsidRPr="0026527A">
        <w:rPr>
          <w:rFonts w:ascii="Arial" w:hAnsi="Arial" w:cs="Arial"/>
        </w:rPr>
        <w:t xml:space="preserve">Furthermore, the political elite has exacerbated inflation when they divert public funds. This deliberate theft of taxpayer money undermines the effectiveness of fiscal policies and projects to stimulate and maintain economic growth </w:t>
      </w:r>
      <w:r w:rsidR="00E6437A">
        <w:rPr>
          <w:rFonts w:ascii="Arial" w:hAnsi="Arial" w:cs="Arial"/>
        </w:rPr>
        <w:t>[3]</w:t>
      </w:r>
      <w:r w:rsidRPr="0026527A">
        <w:rPr>
          <w:rFonts w:ascii="Arial" w:hAnsi="Arial" w:cs="Arial"/>
        </w:rPr>
        <w:t xml:space="preserve">. Instead of investing in infrastructure, healthcare, or education to stabilize the economy and improve productivity in the long run, taxpayer money is often routed and diverted into schemes with no economic return, such as the new healthcare coverage known as SHA or Housing projects in remote areas </w:t>
      </w:r>
      <w:r w:rsidR="00B2517D">
        <w:rPr>
          <w:rFonts w:ascii="Arial" w:hAnsi="Arial" w:cs="Arial"/>
        </w:rPr>
        <w:t>[4]</w:t>
      </w:r>
      <w:r w:rsidRPr="0026527A">
        <w:rPr>
          <w:rFonts w:ascii="Arial" w:hAnsi="Arial" w:cs="Arial"/>
        </w:rPr>
        <w:t xml:space="preserve">. This results in a gap that is currently widening between government spending and economic output, which is contributing to inflation in the country </w:t>
      </w:r>
      <w:r w:rsidR="00B2517D">
        <w:rPr>
          <w:rFonts w:ascii="Arial" w:hAnsi="Arial" w:cs="Arial"/>
        </w:rPr>
        <w:t>[3]</w:t>
      </w:r>
      <w:r w:rsidRPr="0026527A">
        <w:rPr>
          <w:rFonts w:ascii="Arial" w:hAnsi="Arial" w:cs="Arial"/>
        </w:rPr>
        <w:t>).</w:t>
      </w:r>
    </w:p>
    <w:p w14:paraId="2C13EAE0" w14:textId="6D034F51" w:rsidR="00C26E1A" w:rsidRPr="00667A60" w:rsidRDefault="00C26E1A" w:rsidP="001E24BB">
      <w:pPr>
        <w:pStyle w:val="BodyText"/>
        <w:spacing w:before="120"/>
        <w:ind w:firstLine="283"/>
        <w:rPr>
          <w:rFonts w:ascii="Arial" w:hAnsi="Arial" w:cs="Arial"/>
        </w:rPr>
      </w:pPr>
      <w:r w:rsidRPr="00C26E1A">
        <w:rPr>
          <w:rFonts w:ascii="Arial" w:hAnsi="Arial" w:cs="Arial"/>
        </w:rPr>
        <w:t xml:space="preserve">The relationship between government domestic borrowing, inflation, and fiscal management is crucial in this context </w:t>
      </w:r>
      <w:r w:rsidR="00B2517D">
        <w:rPr>
          <w:rFonts w:ascii="Arial" w:hAnsi="Arial" w:cs="Arial"/>
        </w:rPr>
        <w:t>[3]</w:t>
      </w:r>
      <w:r w:rsidRPr="00C26E1A">
        <w:rPr>
          <w:rFonts w:ascii="Arial" w:hAnsi="Arial" w:cs="Arial"/>
        </w:rPr>
        <w:t>. The Kenyan government continues borrowing from domestic sources such as banks and bonds, putting more money into circulation. As the borrowing increases, the central bank is pressured to monetize this debt, further increasing the money supply, pushing inflation higher</w:t>
      </w:r>
      <w:r w:rsidR="00F7669E">
        <w:rPr>
          <w:rFonts w:ascii="Arial" w:hAnsi="Arial" w:cs="Arial"/>
        </w:rPr>
        <w:t>,</w:t>
      </w:r>
      <w:r w:rsidRPr="00C26E1A">
        <w:rPr>
          <w:rFonts w:ascii="Arial" w:hAnsi="Arial" w:cs="Arial"/>
        </w:rPr>
        <w:t xml:space="preserve"> and the value of money lower. Meanwhile, this has made interest rates unaffordable for the common ‘mwananchi’ (citizen), which has reduced access to credit, increasing struggles to maintain productivity</w:t>
      </w:r>
      <w:r w:rsidR="00F7669E">
        <w:rPr>
          <w:rFonts w:ascii="Arial" w:hAnsi="Arial" w:cs="Arial"/>
        </w:rPr>
        <w:t>,</w:t>
      </w:r>
      <w:r w:rsidRPr="00C26E1A">
        <w:rPr>
          <w:rFonts w:ascii="Arial" w:hAnsi="Arial" w:cs="Arial"/>
        </w:rPr>
        <w:t xml:space="preserve"> and contributing to inflation. This research aims to show the connections between these variables, examining how the Kenyan government</w:t>
      </w:r>
      <w:r w:rsidR="00F7669E">
        <w:rPr>
          <w:rFonts w:ascii="Arial" w:hAnsi="Arial" w:cs="Arial"/>
        </w:rPr>
        <w:t>, its domestic debt,</w:t>
      </w:r>
      <w:r w:rsidRPr="00C26E1A">
        <w:rPr>
          <w:rFonts w:ascii="Arial" w:hAnsi="Arial" w:cs="Arial"/>
        </w:rPr>
        <w:t xml:space="preserve"> and political corruption contribute to inflation. Through analysis of variables, the study shall explore the economic mechanisms that play a role in debt accumulation, inflation, and government spending. Ultimately, this research shall offer insights and illuminate how domestic debt contributes to inflation, curtailing sustainable growth</w:t>
      </w:r>
      <w:r w:rsidR="00F7669E">
        <w:rPr>
          <w:rFonts w:ascii="Arial" w:hAnsi="Arial" w:cs="Arial"/>
        </w:rPr>
        <w:t>,</w:t>
      </w:r>
      <w:r w:rsidRPr="00C26E1A">
        <w:rPr>
          <w:rFonts w:ascii="Arial" w:hAnsi="Arial" w:cs="Arial"/>
        </w:rPr>
        <w:t xml:space="preserve"> and exacerbating </w:t>
      </w:r>
      <w:r w:rsidRPr="00667A60">
        <w:rPr>
          <w:rFonts w:ascii="Arial" w:hAnsi="Arial" w:cs="Arial"/>
        </w:rPr>
        <w:t>economic challenges.</w:t>
      </w:r>
    </w:p>
    <w:p w14:paraId="3152B8F6" w14:textId="55B22F81" w:rsidR="00A3521A" w:rsidRPr="00667A60" w:rsidRDefault="00866DE3" w:rsidP="006255F7">
      <w:pPr>
        <w:pStyle w:val="Heading1"/>
        <w:tabs>
          <w:tab w:val="num" w:pos="576"/>
        </w:tabs>
        <w:spacing w:before="120" w:after="120"/>
        <w:ind w:firstLine="283"/>
        <w:jc w:val="both"/>
        <w:rPr>
          <w:rFonts w:ascii="Arial" w:eastAsia="MS Mincho" w:hAnsi="Arial" w:cs="Arial"/>
        </w:rPr>
      </w:pPr>
      <w:r w:rsidRPr="00667A60">
        <w:rPr>
          <w:rFonts w:ascii="Arial" w:eastAsia="MS Mincho" w:hAnsi="Arial" w:cs="Arial"/>
        </w:rPr>
        <w:lastRenderedPageBreak/>
        <w:t>Variable Information</w:t>
      </w:r>
    </w:p>
    <w:p w14:paraId="72104F4E" w14:textId="0B6159DC" w:rsidR="008213A5" w:rsidRDefault="002830B9" w:rsidP="00F632C2">
      <w:pPr>
        <w:pStyle w:val="BodyText"/>
        <w:spacing w:before="120"/>
        <w:ind w:firstLine="283"/>
        <w:rPr>
          <w:rFonts w:ascii="Arial" w:hAnsi="Arial" w:cs="Arial"/>
        </w:rPr>
      </w:pPr>
      <w:r w:rsidRPr="00667A60">
        <w:rPr>
          <w:rFonts w:ascii="Arial" w:hAnsi="Arial" w:cs="Arial"/>
          <w:i/>
          <w:iCs/>
        </w:rPr>
        <w:t>Data Sources</w:t>
      </w:r>
      <w:r w:rsidRPr="00667A60">
        <w:rPr>
          <w:rFonts w:ascii="Arial" w:hAnsi="Arial" w:cs="Arial"/>
        </w:rPr>
        <w:t xml:space="preserve"> - </w:t>
      </w:r>
      <w:r w:rsidR="008213A5" w:rsidRPr="00667A60">
        <w:rPr>
          <w:rFonts w:ascii="Arial" w:hAnsi="Arial" w:cs="Arial"/>
        </w:rPr>
        <w:t>The data</w:t>
      </w:r>
      <w:r w:rsidR="008213A5" w:rsidRPr="008213A5">
        <w:rPr>
          <w:rFonts w:ascii="Arial" w:hAnsi="Arial" w:cs="Arial"/>
        </w:rPr>
        <w:t xml:space="preserve"> used for this research paper was collected from the Central Bank of Kenya, both of which have been cited below </w:t>
      </w:r>
      <w:r w:rsidR="001B738E">
        <w:rPr>
          <w:rFonts w:ascii="Arial" w:hAnsi="Arial" w:cs="Arial"/>
        </w:rPr>
        <w:t>[5] [6]</w:t>
      </w:r>
      <w:r w:rsidR="008213A5" w:rsidRPr="008213A5">
        <w:rPr>
          <w:rFonts w:ascii="Arial" w:hAnsi="Arial" w:cs="Arial"/>
        </w:rPr>
        <w:t xml:space="preserve">. </w:t>
      </w:r>
    </w:p>
    <w:p w14:paraId="3BA06A7D" w14:textId="17D42D96" w:rsidR="0034195E" w:rsidRDefault="0034195E" w:rsidP="0034195E">
      <w:pPr>
        <w:pStyle w:val="BodyText"/>
        <w:spacing w:before="120"/>
        <w:ind w:firstLine="283"/>
        <w:rPr>
          <w:rFonts w:ascii="Arial" w:hAnsi="Arial" w:cs="Arial"/>
        </w:rPr>
      </w:pPr>
      <w:r w:rsidRPr="00667A60">
        <w:rPr>
          <w:rFonts w:ascii="Arial" w:hAnsi="Arial" w:cs="Arial"/>
          <w:i/>
          <w:iCs/>
        </w:rPr>
        <w:t>Annual Average Inflation</w:t>
      </w:r>
      <w:r>
        <w:rPr>
          <w:rFonts w:ascii="Arial" w:hAnsi="Arial" w:cs="Arial"/>
        </w:rPr>
        <w:t xml:space="preserve"> - </w:t>
      </w:r>
      <w:r w:rsidRPr="0034195E">
        <w:rPr>
          <w:rFonts w:ascii="Arial" w:hAnsi="Arial" w:cs="Arial"/>
        </w:rPr>
        <w:t xml:space="preserve">This is the average inflation rate over the last 12 months, which gives a view of price changes within the Kenyan economy. It is a reflection of long-term inflation trends that minimize the volatility experienced month to month. Commonly used to assess overall economic stability in the long-term purchasing power of the consumers </w:t>
      </w:r>
      <w:r w:rsidR="001B738E">
        <w:rPr>
          <w:rFonts w:ascii="Arial" w:hAnsi="Arial" w:cs="Arial"/>
        </w:rPr>
        <w:t>[7]</w:t>
      </w:r>
      <w:r w:rsidRPr="0034195E">
        <w:rPr>
          <w:rFonts w:ascii="Arial" w:hAnsi="Arial" w:cs="Arial"/>
        </w:rPr>
        <w:t>.</w:t>
      </w:r>
    </w:p>
    <w:p w14:paraId="7A3DFEDD" w14:textId="65B10C96" w:rsidR="00A125B4" w:rsidRDefault="00A125B4" w:rsidP="00A125B4">
      <w:pPr>
        <w:pStyle w:val="BodyText"/>
        <w:spacing w:before="120"/>
        <w:ind w:firstLine="283"/>
        <w:rPr>
          <w:rFonts w:ascii="Arial" w:hAnsi="Arial" w:cs="Arial"/>
        </w:rPr>
      </w:pPr>
      <w:r w:rsidRPr="00667A60">
        <w:rPr>
          <w:rFonts w:ascii="Arial" w:hAnsi="Arial" w:cs="Arial"/>
          <w:i/>
          <w:iCs/>
        </w:rPr>
        <w:t>12-Month Inflation</w:t>
      </w:r>
      <w:r>
        <w:rPr>
          <w:rFonts w:ascii="Arial" w:hAnsi="Arial" w:cs="Arial"/>
        </w:rPr>
        <w:t xml:space="preserve"> - </w:t>
      </w:r>
      <w:r w:rsidRPr="00A125B4">
        <w:rPr>
          <w:rFonts w:ascii="Arial" w:hAnsi="Arial" w:cs="Arial"/>
        </w:rPr>
        <w:t xml:space="preserve">This is also known as year-on-year inflation and is compared to the consumer price index of a given month to the same month in the previous year. It is a reflection of short-term price changes and is mostly used to track recent inflammatory pressures that affect businesses and consumers more immediately </w:t>
      </w:r>
      <w:r w:rsidR="00126D05">
        <w:rPr>
          <w:rFonts w:ascii="Arial" w:hAnsi="Arial" w:cs="Arial"/>
        </w:rPr>
        <w:t>[7]</w:t>
      </w:r>
      <w:r w:rsidRPr="00A125B4">
        <w:rPr>
          <w:rFonts w:ascii="Arial" w:hAnsi="Arial" w:cs="Arial"/>
        </w:rPr>
        <w:t>.</w:t>
      </w:r>
    </w:p>
    <w:p w14:paraId="501ED9F0" w14:textId="5A93B102" w:rsidR="007327A7" w:rsidRDefault="007327A7" w:rsidP="007327A7">
      <w:pPr>
        <w:pStyle w:val="BodyText"/>
        <w:spacing w:before="120"/>
        <w:ind w:firstLine="283"/>
        <w:rPr>
          <w:rFonts w:ascii="Arial" w:hAnsi="Arial" w:cs="Arial"/>
          <w:highlight w:val="yellow"/>
        </w:rPr>
      </w:pPr>
      <w:r w:rsidRPr="007327A7">
        <w:rPr>
          <w:rFonts w:ascii="Arial" w:hAnsi="Arial" w:cs="Arial"/>
          <w:i/>
          <w:iCs/>
        </w:rPr>
        <w:t>Government Debt</w:t>
      </w:r>
      <w:r>
        <w:rPr>
          <w:rFonts w:ascii="Arial" w:hAnsi="Arial" w:cs="Arial"/>
        </w:rPr>
        <w:t xml:space="preserve"> - </w:t>
      </w:r>
      <w:r w:rsidRPr="007327A7">
        <w:rPr>
          <w:rFonts w:ascii="Arial" w:hAnsi="Arial" w:cs="Arial"/>
        </w:rPr>
        <w:t xml:space="preserve">Government debt is the total amount of money that the government owes both domestically and externally </w:t>
      </w:r>
      <w:r w:rsidR="00F86A29">
        <w:rPr>
          <w:rFonts w:ascii="Arial" w:hAnsi="Arial" w:cs="Arial"/>
        </w:rPr>
        <w:t>[5]</w:t>
      </w:r>
      <w:r w:rsidRPr="007327A7">
        <w:rPr>
          <w:rFonts w:ascii="Arial" w:hAnsi="Arial" w:cs="Arial"/>
        </w:rPr>
        <w:t>. It is a reflection of the government’s borrowing to fund public services, budget deficits, and infrastructure. High debt levels often affect the credit ratings of nations, interest rates, and the fiscal space of a country.</w:t>
      </w:r>
    </w:p>
    <w:p w14:paraId="07DAAF7A" w14:textId="77777777" w:rsidR="001C6E0B" w:rsidRPr="00E40141" w:rsidRDefault="001C6E0B" w:rsidP="00617617">
      <w:pPr>
        <w:pStyle w:val="ListParagraph"/>
        <w:keepNext/>
        <w:keepLines/>
        <w:numPr>
          <w:ilvl w:val="0"/>
          <w:numId w:val="8"/>
        </w:numPr>
        <w:tabs>
          <w:tab w:val="left" w:pos="216"/>
          <w:tab w:val="num" w:pos="576"/>
        </w:tabs>
        <w:spacing w:before="120" w:after="120"/>
        <w:contextualSpacing w:val="0"/>
        <w:jc w:val="both"/>
        <w:outlineLvl w:val="0"/>
        <w:rPr>
          <w:rFonts w:ascii="Arial" w:eastAsia="MS Mincho" w:hAnsi="Arial" w:cs="Arial"/>
          <w:smallCaps/>
          <w:noProof/>
          <w:vanish/>
          <w:highlight w:val="yellow"/>
        </w:rPr>
      </w:pPr>
    </w:p>
    <w:p w14:paraId="3EA04DC1" w14:textId="77777777" w:rsidR="001C6E0B" w:rsidRPr="00E40141" w:rsidRDefault="001C6E0B" w:rsidP="00617617">
      <w:pPr>
        <w:pStyle w:val="ListParagraph"/>
        <w:keepNext/>
        <w:keepLines/>
        <w:numPr>
          <w:ilvl w:val="0"/>
          <w:numId w:val="8"/>
        </w:numPr>
        <w:tabs>
          <w:tab w:val="left" w:pos="216"/>
          <w:tab w:val="num" w:pos="576"/>
        </w:tabs>
        <w:spacing w:before="120" w:after="120"/>
        <w:contextualSpacing w:val="0"/>
        <w:jc w:val="both"/>
        <w:outlineLvl w:val="0"/>
        <w:rPr>
          <w:rFonts w:ascii="Arial" w:eastAsia="MS Mincho" w:hAnsi="Arial" w:cs="Arial"/>
          <w:smallCaps/>
          <w:noProof/>
          <w:vanish/>
          <w:highlight w:val="yellow"/>
        </w:rPr>
      </w:pPr>
    </w:p>
    <w:p w14:paraId="24516851" w14:textId="77777777" w:rsidR="001C6E0B" w:rsidRPr="00E40141" w:rsidRDefault="001C6E0B" w:rsidP="00617617">
      <w:pPr>
        <w:pStyle w:val="ListParagraph"/>
        <w:keepNext/>
        <w:keepLines/>
        <w:numPr>
          <w:ilvl w:val="0"/>
          <w:numId w:val="8"/>
        </w:numPr>
        <w:tabs>
          <w:tab w:val="left" w:pos="216"/>
          <w:tab w:val="num" w:pos="576"/>
        </w:tabs>
        <w:spacing w:before="120" w:after="120"/>
        <w:contextualSpacing w:val="0"/>
        <w:jc w:val="both"/>
        <w:outlineLvl w:val="0"/>
        <w:rPr>
          <w:rFonts w:ascii="Arial" w:eastAsia="MS Mincho" w:hAnsi="Arial" w:cs="Arial"/>
          <w:smallCaps/>
          <w:noProof/>
          <w:vanish/>
          <w:highlight w:val="yellow"/>
        </w:rPr>
      </w:pPr>
    </w:p>
    <w:p w14:paraId="5E2BD786" w14:textId="2E57C42C" w:rsidR="00160E87" w:rsidRPr="00406553" w:rsidRDefault="00EF318F" w:rsidP="00EF318F">
      <w:pPr>
        <w:pStyle w:val="Heading1"/>
        <w:numPr>
          <w:ilvl w:val="0"/>
          <w:numId w:val="0"/>
        </w:numPr>
        <w:spacing w:before="120" w:after="120"/>
        <w:ind w:left="216"/>
        <w:jc w:val="both"/>
        <w:rPr>
          <w:rFonts w:ascii="Arial" w:eastAsia="MS Mincho" w:hAnsi="Arial" w:cs="Arial"/>
        </w:rPr>
      </w:pPr>
      <w:r w:rsidRPr="00406553">
        <w:rPr>
          <w:rFonts w:ascii="Arial" w:eastAsia="MS Mincho" w:hAnsi="Arial" w:cs="Arial"/>
        </w:rPr>
        <w:t xml:space="preserve">III. </w:t>
      </w:r>
      <w:r w:rsidR="000C4431" w:rsidRPr="00406553">
        <w:rPr>
          <w:rFonts w:ascii="Arial" w:eastAsia="MS Mincho" w:hAnsi="Arial" w:cs="Arial"/>
        </w:rPr>
        <w:t xml:space="preserve">Indicators and Understanding of </w:t>
      </w:r>
      <w:r w:rsidR="00406553" w:rsidRPr="00406553">
        <w:rPr>
          <w:rFonts w:ascii="Arial" w:eastAsia="MS Mincho" w:hAnsi="Arial" w:cs="Arial"/>
        </w:rPr>
        <w:t>Selected Variables</w:t>
      </w:r>
    </w:p>
    <w:p w14:paraId="13BC72E9" w14:textId="765FFEB0" w:rsidR="00C1016C" w:rsidRDefault="00C1016C" w:rsidP="00077BC3">
      <w:pPr>
        <w:pStyle w:val="BodyText"/>
        <w:spacing w:before="120"/>
        <w:ind w:firstLine="283"/>
        <w:rPr>
          <w:rFonts w:ascii="Arial" w:hAnsi="Arial" w:cs="Arial"/>
        </w:rPr>
      </w:pPr>
      <w:r w:rsidRPr="00C1016C">
        <w:rPr>
          <w:rFonts w:ascii="Arial" w:hAnsi="Arial" w:cs="Arial"/>
        </w:rPr>
        <w:t xml:space="preserve">In the assessment of the dynamics between inflation in government debt over the period 2022 and early 2025, two key inflationary indicators were analyzed for this essay. Annual average inflation and 12-month inflation covering the periods from January 2020 to February 2025 were used. The annual average inflation reflected the long-term inflation rate of a 12-month period, and for this analysis, there was a fluctuation between 5.29% in January 2020 and 3.98% in February 2025, picking up at 8.78% in May 2023 </w:t>
      </w:r>
      <w:r w:rsidR="00F86A29">
        <w:rPr>
          <w:rFonts w:ascii="Arial" w:hAnsi="Arial" w:cs="Arial"/>
        </w:rPr>
        <w:t>[5]</w:t>
      </w:r>
      <w:r w:rsidRPr="00C1016C">
        <w:rPr>
          <w:rFonts w:ascii="Arial" w:hAnsi="Arial" w:cs="Arial"/>
        </w:rPr>
        <w:t xml:space="preserve">. Despite the upward trend in government debts, the correlation between the coefficients and the annual average inflation in government debt was weakly positive. While there was a significant relationship between the two variables, the strength of the correlation is minimal, suggesting that increases in government deaths are not strongly associated with changes in annual average inflation </w:t>
      </w:r>
      <w:r w:rsidR="00F3708A">
        <w:rPr>
          <w:rFonts w:ascii="Arial" w:hAnsi="Arial" w:cs="Arial"/>
        </w:rPr>
        <w:t>[6]</w:t>
      </w:r>
      <w:r w:rsidRPr="00C1016C">
        <w:rPr>
          <w:rFonts w:ascii="Arial" w:hAnsi="Arial" w:cs="Arial"/>
        </w:rPr>
        <w:t xml:space="preserve">. This implies that there are other factors at play, such as fiscal policy decisions, external borrowing patterns, foreign exchange volatilities, or government interference in the market, that play more dominant roles in driving public debt growth </w:t>
      </w:r>
      <w:r w:rsidR="00E93893">
        <w:rPr>
          <w:rFonts w:ascii="Arial" w:hAnsi="Arial" w:cs="Arial"/>
        </w:rPr>
        <w:t>[8]</w:t>
      </w:r>
      <w:r w:rsidRPr="00C1016C">
        <w:rPr>
          <w:rFonts w:ascii="Arial" w:hAnsi="Arial" w:cs="Arial"/>
        </w:rPr>
        <w:t xml:space="preserve">. </w:t>
      </w:r>
    </w:p>
    <w:p w14:paraId="6BC5A206" w14:textId="3C96FD7E" w:rsidR="009B326F" w:rsidRPr="00765477" w:rsidRDefault="009B326F" w:rsidP="00765477">
      <w:pPr>
        <w:pStyle w:val="BodyText"/>
        <w:spacing w:before="120"/>
        <w:ind w:firstLine="283"/>
        <w:rPr>
          <w:rFonts w:ascii="Arial" w:hAnsi="Arial" w:cs="Arial"/>
        </w:rPr>
      </w:pPr>
      <w:r w:rsidRPr="009B326F">
        <w:rPr>
          <w:rFonts w:ascii="Arial" w:hAnsi="Arial" w:cs="Arial"/>
        </w:rPr>
        <w:t>The 12-month inflation rate measures short-term inflation by comparing the consumer price index of a given month with that of the same month in the previous year. Unlike annual average inflation, this mission is more volatile, ranging from a low of 2.72% in October 2024 to a high of 9.59% in October 2022. The correlation between 12-month inflation and government debt was weakly negative; its statistical significance was high. This inverse relationship, even though we reflect that there could be inflation surges</w:t>
      </w:r>
      <w:r w:rsidR="00F7669E">
        <w:rPr>
          <w:rFonts w:ascii="Arial" w:hAnsi="Arial" w:cs="Arial"/>
        </w:rPr>
        <w:t>, well, there is reduced borrowing</w:t>
      </w:r>
      <w:r w:rsidRPr="009B326F">
        <w:rPr>
          <w:rFonts w:ascii="Arial" w:hAnsi="Arial" w:cs="Arial"/>
        </w:rPr>
        <w:t xml:space="preserve"> by the government. It </w:t>
      </w:r>
      <w:r w:rsidRPr="009B326F">
        <w:rPr>
          <w:rFonts w:ascii="Arial" w:hAnsi="Arial" w:cs="Arial"/>
        </w:rPr>
        <w:t xml:space="preserve">could also suggest that rising inflation prompts debt servicing or </w:t>
      </w:r>
      <w:r w:rsidR="00F7669E">
        <w:rPr>
          <w:rFonts w:ascii="Arial" w:hAnsi="Arial" w:cs="Arial"/>
        </w:rPr>
        <w:t>erodes the</w:t>
      </w:r>
      <w:r w:rsidRPr="009B326F">
        <w:rPr>
          <w:rFonts w:ascii="Arial" w:hAnsi="Arial" w:cs="Arial"/>
        </w:rPr>
        <w:t xml:space="preserve"> value of the outstanding debts </w:t>
      </w:r>
      <w:r w:rsidR="00AE79FE">
        <w:rPr>
          <w:rFonts w:ascii="Arial" w:hAnsi="Arial" w:cs="Arial"/>
        </w:rPr>
        <w:t>[1]</w:t>
      </w:r>
      <w:r w:rsidRPr="009B326F">
        <w:rPr>
          <w:rFonts w:ascii="Arial" w:hAnsi="Arial" w:cs="Arial"/>
        </w:rPr>
        <w:t xml:space="preserve">. </w:t>
      </w:r>
    </w:p>
    <w:p w14:paraId="627A13B6" w14:textId="489C2C48" w:rsidR="009B326F" w:rsidRDefault="00BD3833" w:rsidP="00077BC3">
      <w:pPr>
        <w:pStyle w:val="BodyText"/>
        <w:spacing w:before="120"/>
        <w:ind w:firstLine="283"/>
        <w:rPr>
          <w:rFonts w:ascii="Arial" w:hAnsi="Arial" w:cs="Arial"/>
          <w:highlight w:val="yellow"/>
        </w:rPr>
      </w:pPr>
      <w:r w:rsidRPr="00BD3833">
        <w:rPr>
          <w:rFonts w:ascii="Arial" w:hAnsi="Arial" w:cs="Arial"/>
        </w:rPr>
        <w:t xml:space="preserve">In this study, government debt was treated as the independent variable. The government debt doubled over the study period from three trillion Kenya shillings to six trillion Kenya shillings in February 2025 </w:t>
      </w:r>
      <w:r w:rsidR="00AE79FE">
        <w:rPr>
          <w:rFonts w:ascii="Arial" w:hAnsi="Arial" w:cs="Arial"/>
        </w:rPr>
        <w:t>[5]</w:t>
      </w:r>
      <w:r w:rsidRPr="00BD3833">
        <w:rPr>
          <w:rFonts w:ascii="Arial" w:hAnsi="Arial" w:cs="Arial"/>
        </w:rPr>
        <w:t xml:space="preserve">. The inflation indicators show a minimal correlation with this debt accumulation over the last five years. This could </w:t>
      </w:r>
      <w:r w:rsidR="00F7669E">
        <w:rPr>
          <w:rFonts w:ascii="Arial" w:hAnsi="Arial" w:cs="Arial"/>
        </w:rPr>
        <w:t>suggest</w:t>
      </w:r>
      <w:r w:rsidRPr="00BD3833">
        <w:rPr>
          <w:rFonts w:ascii="Arial" w:hAnsi="Arial" w:cs="Arial"/>
        </w:rPr>
        <w:t xml:space="preserve"> the weakening of the local Kenyan currency, which increases the cost of foreign-denominated debt. Additionally, it shows that while inflation is an </w:t>
      </w:r>
      <w:r w:rsidR="00F7669E">
        <w:rPr>
          <w:rFonts w:ascii="Arial" w:hAnsi="Arial" w:cs="Arial"/>
        </w:rPr>
        <w:t>essential</w:t>
      </w:r>
      <w:r w:rsidRPr="00BD3833">
        <w:rPr>
          <w:rFonts w:ascii="Arial" w:hAnsi="Arial" w:cs="Arial"/>
        </w:rPr>
        <w:t xml:space="preserve"> measure of the </w:t>
      </w:r>
      <w:r>
        <w:rPr>
          <w:rFonts w:ascii="Arial" w:hAnsi="Arial" w:cs="Arial"/>
        </w:rPr>
        <w:t>macroeconomy's</w:t>
      </w:r>
      <w:r w:rsidRPr="00BD3833">
        <w:rPr>
          <w:rFonts w:ascii="Arial" w:hAnsi="Arial" w:cs="Arial"/>
        </w:rPr>
        <w:t xml:space="preserve"> status, it does not influence government debts, at least for the </w:t>
      </w:r>
      <w:r w:rsidR="00F7669E">
        <w:rPr>
          <w:rFonts w:ascii="Arial" w:hAnsi="Arial" w:cs="Arial"/>
        </w:rPr>
        <w:t>period</w:t>
      </w:r>
      <w:r w:rsidRPr="00BD3833">
        <w:rPr>
          <w:rFonts w:ascii="Arial" w:hAnsi="Arial" w:cs="Arial"/>
        </w:rPr>
        <w:t xml:space="preserve"> observed. </w:t>
      </w:r>
    </w:p>
    <w:p w14:paraId="5709962D" w14:textId="66EF4082" w:rsidR="00F94A5F" w:rsidRPr="00BD3833" w:rsidRDefault="00BD3833" w:rsidP="00617617">
      <w:pPr>
        <w:pStyle w:val="Heading1"/>
        <w:numPr>
          <w:ilvl w:val="0"/>
          <w:numId w:val="8"/>
        </w:numPr>
        <w:tabs>
          <w:tab w:val="num" w:pos="576"/>
        </w:tabs>
        <w:spacing w:before="120" w:after="120"/>
        <w:jc w:val="both"/>
        <w:rPr>
          <w:rFonts w:ascii="Arial" w:eastAsia="MS Mincho" w:hAnsi="Arial" w:cs="Arial"/>
        </w:rPr>
      </w:pPr>
      <w:r w:rsidRPr="00BD3833">
        <w:rPr>
          <w:rFonts w:ascii="Arial" w:eastAsia="MS Mincho" w:hAnsi="Arial" w:cs="Arial"/>
        </w:rPr>
        <w:t>Data Analysis</w:t>
      </w:r>
    </w:p>
    <w:p w14:paraId="2D3866A2" w14:textId="3FDB6777" w:rsidR="00CB5CC8" w:rsidRDefault="00CB5CC8" w:rsidP="00FA1E1E">
      <w:pPr>
        <w:pStyle w:val="BodyText"/>
        <w:spacing w:before="120"/>
        <w:ind w:firstLine="283"/>
        <w:rPr>
          <w:rFonts w:ascii="Arial" w:hAnsi="Arial" w:cs="Arial"/>
        </w:rPr>
      </w:pPr>
      <w:r w:rsidRPr="00CB5CC8">
        <w:rPr>
          <w:rFonts w:ascii="Arial" w:hAnsi="Arial" w:cs="Arial"/>
        </w:rPr>
        <w:t xml:space="preserve">The data used in this study </w:t>
      </w:r>
      <w:r w:rsidR="00F7669E">
        <w:rPr>
          <w:rFonts w:ascii="Arial" w:hAnsi="Arial" w:cs="Arial"/>
        </w:rPr>
        <w:t>were</w:t>
      </w:r>
      <w:r w:rsidRPr="00CB5CC8">
        <w:rPr>
          <w:rFonts w:ascii="Arial" w:hAnsi="Arial" w:cs="Arial"/>
        </w:rPr>
        <w:t xml:space="preserve"> compiled from the official Central Bank of Kenya data sets, which are cited below. Key economic variables such as the annual average inflation, 12-month inflation, and government debt were analyzed using Microsoft Excel. Using Excel, the relationships between inflation indicators and government debt were examined through correlational analysis. The results were as follows</w:t>
      </w:r>
      <w:r>
        <w:rPr>
          <w:rFonts w:ascii="Arial" w:hAnsi="Arial" w:cs="Arial"/>
        </w:rPr>
        <w:t xml:space="preserve"> in </w:t>
      </w:r>
      <w:r w:rsidR="00765477">
        <w:rPr>
          <w:rFonts w:ascii="Arial" w:hAnsi="Arial" w:cs="Arial"/>
        </w:rPr>
        <w:t>Figures</w:t>
      </w:r>
      <w:r>
        <w:rPr>
          <w:rFonts w:ascii="Arial" w:hAnsi="Arial" w:cs="Arial"/>
        </w:rPr>
        <w:t xml:space="preserve"> 1</w:t>
      </w:r>
      <w:r w:rsidR="00AB06B3">
        <w:rPr>
          <w:rFonts w:ascii="Arial" w:hAnsi="Arial" w:cs="Arial"/>
        </w:rPr>
        <w:t xml:space="preserve"> and 2</w:t>
      </w:r>
      <w:r>
        <w:rPr>
          <w:rFonts w:ascii="Arial" w:hAnsi="Arial" w:cs="Arial"/>
        </w:rPr>
        <w:t>.</w:t>
      </w:r>
    </w:p>
    <w:p w14:paraId="22A906C0" w14:textId="77777777" w:rsidR="00765477" w:rsidRDefault="00765477" w:rsidP="00FA1E1E">
      <w:pPr>
        <w:pStyle w:val="BodyText"/>
        <w:spacing w:before="120"/>
        <w:ind w:firstLine="283"/>
        <w:rPr>
          <w:rFonts w:ascii="Arial" w:hAnsi="Arial" w:cs="Arial"/>
        </w:rPr>
      </w:pPr>
    </w:p>
    <w:p w14:paraId="5C64ED72" w14:textId="0079D7D1" w:rsidR="00CB5CC8" w:rsidRDefault="003F497E" w:rsidP="007C2BA0">
      <w:pPr>
        <w:pStyle w:val="BodyText"/>
        <w:spacing w:before="120"/>
        <w:ind w:firstLine="283"/>
        <w:jc w:val="center"/>
        <w:rPr>
          <w:rFonts w:ascii="Arial" w:hAnsi="Arial" w:cs="Arial"/>
        </w:rPr>
      </w:pPr>
      <w:r>
        <w:rPr>
          <w:noProof/>
        </w:rPr>
        <w:drawing>
          <wp:inline distT="0" distB="0" distL="0" distR="0" wp14:anchorId="5D59159C" wp14:editId="4822F2AB">
            <wp:extent cx="2930128" cy="2333767"/>
            <wp:effectExtent l="0" t="0" r="3810" b="0"/>
            <wp:docPr id="284356518" name="Picture 1" descr="A graph with red line and orang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56518" name="Picture 1" descr="A graph with red line and orange dots&#10;&#10;AI-generated content may be incorrect."/>
                    <pic:cNvPicPr/>
                  </pic:nvPicPr>
                  <pic:blipFill>
                    <a:blip r:embed="rId14"/>
                    <a:stretch>
                      <a:fillRect/>
                    </a:stretch>
                  </pic:blipFill>
                  <pic:spPr>
                    <a:xfrm>
                      <a:off x="0" y="0"/>
                      <a:ext cx="2937964" cy="2340008"/>
                    </a:xfrm>
                    <a:prstGeom prst="rect">
                      <a:avLst/>
                    </a:prstGeom>
                  </pic:spPr>
                </pic:pic>
              </a:graphicData>
            </a:graphic>
          </wp:inline>
        </w:drawing>
      </w:r>
    </w:p>
    <w:p w14:paraId="0FAC24D5" w14:textId="086337F9" w:rsidR="00CB5CC8" w:rsidRDefault="00FA25EC" w:rsidP="00F0372F">
      <w:pPr>
        <w:pStyle w:val="BodyText"/>
        <w:spacing w:before="120"/>
        <w:ind w:firstLine="0"/>
        <w:jc w:val="left"/>
        <w:rPr>
          <w:rFonts w:ascii="Arial" w:hAnsi="Arial" w:cs="Arial"/>
        </w:rPr>
      </w:pPr>
      <w:r>
        <w:rPr>
          <w:rFonts w:ascii="Arial" w:hAnsi="Arial" w:cs="Arial"/>
        </w:rPr>
        <w:tab/>
      </w:r>
      <w:r w:rsidR="00CB5CC8" w:rsidRPr="00932A6B">
        <w:rPr>
          <w:rFonts w:ascii="Arial" w:hAnsi="Arial" w:cs="Arial"/>
          <w:i/>
          <w:iCs/>
        </w:rPr>
        <w:t>Figure 1</w:t>
      </w:r>
      <w:r w:rsidR="004375FD" w:rsidRPr="008214CA">
        <w:rPr>
          <w:rFonts w:ascii="Arial" w:hAnsi="Arial" w:cs="Arial"/>
        </w:rPr>
        <w:t xml:space="preserve">. </w:t>
      </w:r>
      <w:r w:rsidR="00AB06B3">
        <w:rPr>
          <w:rFonts w:ascii="Arial" w:hAnsi="Arial" w:cs="Arial"/>
        </w:rPr>
        <w:t>Annual Average Inflation</w:t>
      </w:r>
      <w:r w:rsidR="00F0372F">
        <w:rPr>
          <w:rFonts w:ascii="Arial" w:hAnsi="Arial" w:cs="Arial"/>
        </w:rPr>
        <w:t xml:space="preserve"> versus </w:t>
      </w:r>
      <w:r w:rsidR="004375FD" w:rsidRPr="008214CA">
        <w:rPr>
          <w:rFonts w:ascii="Arial" w:hAnsi="Arial" w:cs="Arial"/>
        </w:rPr>
        <w:t>Government Debt</w:t>
      </w:r>
    </w:p>
    <w:p w14:paraId="3F36E4EA" w14:textId="77777777" w:rsidR="00765477" w:rsidRDefault="00765477" w:rsidP="00F0372F">
      <w:pPr>
        <w:pStyle w:val="BodyText"/>
        <w:spacing w:before="120"/>
        <w:ind w:firstLine="0"/>
        <w:jc w:val="left"/>
        <w:rPr>
          <w:rFonts w:ascii="Arial" w:hAnsi="Arial" w:cs="Arial"/>
        </w:rPr>
      </w:pPr>
    </w:p>
    <w:p w14:paraId="5CA75D89" w14:textId="77777777" w:rsidR="00765477" w:rsidRDefault="00765477" w:rsidP="00F0372F">
      <w:pPr>
        <w:pStyle w:val="BodyText"/>
        <w:spacing w:before="120"/>
        <w:ind w:firstLine="0"/>
        <w:jc w:val="left"/>
        <w:rPr>
          <w:rFonts w:ascii="Arial" w:hAnsi="Arial" w:cs="Arial"/>
        </w:rPr>
      </w:pPr>
    </w:p>
    <w:p w14:paraId="219AFC38" w14:textId="77777777" w:rsidR="00765477" w:rsidRDefault="00765477" w:rsidP="00F0372F">
      <w:pPr>
        <w:pStyle w:val="BodyText"/>
        <w:spacing w:before="120"/>
        <w:ind w:firstLine="0"/>
        <w:jc w:val="left"/>
        <w:rPr>
          <w:rFonts w:ascii="Arial" w:hAnsi="Arial" w:cs="Arial"/>
        </w:rPr>
      </w:pPr>
    </w:p>
    <w:p w14:paraId="6817E8A5" w14:textId="77777777" w:rsidR="00765477" w:rsidRDefault="00765477" w:rsidP="00F0372F">
      <w:pPr>
        <w:pStyle w:val="BodyText"/>
        <w:spacing w:before="120"/>
        <w:ind w:firstLine="0"/>
        <w:jc w:val="left"/>
        <w:rPr>
          <w:rFonts w:ascii="Arial" w:hAnsi="Arial" w:cs="Arial"/>
        </w:rPr>
      </w:pPr>
    </w:p>
    <w:p w14:paraId="093F64D3" w14:textId="77777777" w:rsidR="00765477" w:rsidRDefault="00765477" w:rsidP="00F0372F">
      <w:pPr>
        <w:pStyle w:val="BodyText"/>
        <w:spacing w:before="120"/>
        <w:ind w:firstLine="0"/>
        <w:jc w:val="left"/>
        <w:rPr>
          <w:rFonts w:ascii="Arial" w:hAnsi="Arial" w:cs="Arial"/>
        </w:rPr>
      </w:pPr>
    </w:p>
    <w:p w14:paraId="306C36FB" w14:textId="77777777" w:rsidR="00D078C7" w:rsidRDefault="00D078C7" w:rsidP="00F0372F">
      <w:pPr>
        <w:pStyle w:val="BodyText"/>
        <w:spacing w:before="120"/>
        <w:ind w:firstLine="0"/>
        <w:jc w:val="left"/>
        <w:rPr>
          <w:rFonts w:ascii="Arial" w:hAnsi="Arial" w:cs="Arial"/>
        </w:rPr>
      </w:pPr>
    </w:p>
    <w:p w14:paraId="28D0C7AB" w14:textId="77777777" w:rsidR="00D078C7" w:rsidRDefault="00D078C7" w:rsidP="00F0372F">
      <w:pPr>
        <w:pStyle w:val="BodyText"/>
        <w:spacing w:before="120"/>
        <w:ind w:firstLine="0"/>
        <w:jc w:val="left"/>
        <w:rPr>
          <w:rFonts w:ascii="Arial" w:hAnsi="Arial" w:cs="Arial"/>
        </w:rPr>
      </w:pPr>
    </w:p>
    <w:p w14:paraId="3C18F8D5" w14:textId="77777777" w:rsidR="00765477" w:rsidRDefault="00765477" w:rsidP="00F0372F">
      <w:pPr>
        <w:pStyle w:val="BodyText"/>
        <w:spacing w:before="120"/>
        <w:ind w:firstLine="0"/>
        <w:jc w:val="left"/>
        <w:rPr>
          <w:rFonts w:ascii="Arial" w:hAnsi="Arial" w:cs="Arial"/>
        </w:rPr>
      </w:pPr>
    </w:p>
    <w:p w14:paraId="42A0692D" w14:textId="77777777" w:rsidR="00765477" w:rsidRDefault="00765477" w:rsidP="00F0372F">
      <w:pPr>
        <w:pStyle w:val="BodyText"/>
        <w:spacing w:before="120"/>
        <w:ind w:firstLine="0"/>
        <w:jc w:val="left"/>
        <w:rPr>
          <w:rFonts w:ascii="Arial" w:hAnsi="Arial" w:cs="Arial"/>
        </w:rPr>
      </w:pPr>
    </w:p>
    <w:p w14:paraId="6E452B97" w14:textId="77777777" w:rsidR="00765477" w:rsidRDefault="00765477" w:rsidP="00F0372F">
      <w:pPr>
        <w:pStyle w:val="BodyText"/>
        <w:spacing w:before="120"/>
        <w:ind w:firstLine="0"/>
        <w:jc w:val="left"/>
        <w:rPr>
          <w:rFonts w:ascii="Arial" w:hAnsi="Arial" w:cs="Arial"/>
        </w:rPr>
      </w:pPr>
    </w:p>
    <w:p w14:paraId="786AAE6C" w14:textId="77777777" w:rsidR="00765477" w:rsidRPr="008214CA" w:rsidRDefault="00765477" w:rsidP="00F0372F">
      <w:pPr>
        <w:pStyle w:val="BodyText"/>
        <w:spacing w:before="120"/>
        <w:ind w:firstLine="0"/>
        <w:jc w:val="left"/>
        <w:rPr>
          <w:rFonts w:ascii="Arial" w:hAnsi="Arial" w:cs="Arial"/>
        </w:rPr>
      </w:pPr>
    </w:p>
    <w:p w14:paraId="5D2863A8" w14:textId="77777777" w:rsidR="00CB5CC8" w:rsidRDefault="00CB5CC8" w:rsidP="00FA1E1E">
      <w:pPr>
        <w:pStyle w:val="BodyText"/>
        <w:spacing w:before="120"/>
        <w:ind w:firstLine="283"/>
        <w:rPr>
          <w:rFonts w:ascii="Arial" w:hAnsi="Arial" w:cs="Arial"/>
        </w:rPr>
      </w:pPr>
    </w:p>
    <w:p w14:paraId="6D8ECB95" w14:textId="2ACB1B48" w:rsidR="00F0372F" w:rsidRDefault="00367758" w:rsidP="00367758">
      <w:pPr>
        <w:pStyle w:val="BodyText"/>
        <w:spacing w:before="120"/>
        <w:ind w:firstLine="283"/>
        <w:jc w:val="center"/>
        <w:rPr>
          <w:rFonts w:ascii="Arial" w:hAnsi="Arial" w:cs="Arial"/>
        </w:rPr>
      </w:pPr>
      <w:r>
        <w:rPr>
          <w:noProof/>
        </w:rPr>
        <w:drawing>
          <wp:inline distT="0" distB="0" distL="0" distR="0" wp14:anchorId="4CE25A7E" wp14:editId="2CB17AE6">
            <wp:extent cx="2698551" cy="2180116"/>
            <wp:effectExtent l="0" t="0" r="6985" b="0"/>
            <wp:docPr id="1563810981" name="Picture 1" descr="A graph with green line and orang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810981" name="Picture 1" descr="A graph with green line and orange dots&#10;&#10;AI-generated content may be incorrect."/>
                    <pic:cNvPicPr/>
                  </pic:nvPicPr>
                  <pic:blipFill>
                    <a:blip r:embed="rId15"/>
                    <a:stretch>
                      <a:fillRect/>
                    </a:stretch>
                  </pic:blipFill>
                  <pic:spPr>
                    <a:xfrm>
                      <a:off x="0" y="0"/>
                      <a:ext cx="2705628" cy="2185834"/>
                    </a:xfrm>
                    <a:prstGeom prst="rect">
                      <a:avLst/>
                    </a:prstGeom>
                  </pic:spPr>
                </pic:pic>
              </a:graphicData>
            </a:graphic>
          </wp:inline>
        </w:drawing>
      </w:r>
    </w:p>
    <w:p w14:paraId="6FA03A66" w14:textId="61670CCC" w:rsidR="00AB06B3" w:rsidRPr="008214CA" w:rsidRDefault="00F0372F" w:rsidP="00F0372F">
      <w:pPr>
        <w:pStyle w:val="BodyText"/>
        <w:spacing w:before="120"/>
        <w:ind w:firstLine="0"/>
        <w:jc w:val="left"/>
        <w:rPr>
          <w:rFonts w:ascii="Arial" w:hAnsi="Arial" w:cs="Arial"/>
        </w:rPr>
      </w:pPr>
      <w:r>
        <w:rPr>
          <w:rFonts w:ascii="Arial" w:hAnsi="Arial" w:cs="Arial"/>
          <w:i/>
          <w:iCs/>
        </w:rPr>
        <w:tab/>
      </w:r>
      <w:r w:rsidR="00AB06B3" w:rsidRPr="00932A6B">
        <w:rPr>
          <w:rFonts w:ascii="Arial" w:hAnsi="Arial" w:cs="Arial"/>
          <w:i/>
          <w:iCs/>
        </w:rPr>
        <w:t xml:space="preserve">Figure </w:t>
      </w:r>
      <w:r w:rsidR="00AB06B3">
        <w:rPr>
          <w:rFonts w:ascii="Arial" w:hAnsi="Arial" w:cs="Arial"/>
          <w:i/>
          <w:iCs/>
        </w:rPr>
        <w:t>2</w:t>
      </w:r>
      <w:r w:rsidR="00AB06B3" w:rsidRPr="008214CA">
        <w:rPr>
          <w:rFonts w:ascii="Arial" w:hAnsi="Arial" w:cs="Arial"/>
        </w:rPr>
        <w:t xml:space="preserve">. </w:t>
      </w:r>
      <w:r>
        <w:rPr>
          <w:rFonts w:ascii="Arial" w:hAnsi="Arial" w:cs="Arial"/>
        </w:rPr>
        <w:t xml:space="preserve">12-Month Inflation versus </w:t>
      </w:r>
      <w:r w:rsidR="00AB06B3" w:rsidRPr="008214CA">
        <w:rPr>
          <w:rFonts w:ascii="Arial" w:hAnsi="Arial" w:cs="Arial"/>
        </w:rPr>
        <w:t>Government Debt</w:t>
      </w:r>
    </w:p>
    <w:p w14:paraId="70449EF5" w14:textId="77777777" w:rsidR="00CB5CC8" w:rsidRDefault="00CB5CC8" w:rsidP="00FA1E1E">
      <w:pPr>
        <w:pStyle w:val="BodyText"/>
        <w:spacing w:before="120"/>
        <w:ind w:firstLine="283"/>
        <w:rPr>
          <w:rFonts w:ascii="Arial" w:hAnsi="Arial" w:cs="Arial"/>
        </w:rPr>
      </w:pPr>
    </w:p>
    <w:p w14:paraId="0A6A7352" w14:textId="24D0AA13" w:rsidR="00CB5CC8" w:rsidRDefault="00170ADE" w:rsidP="00FA1E1E">
      <w:pPr>
        <w:pStyle w:val="BodyText"/>
        <w:spacing w:before="120"/>
        <w:ind w:firstLine="283"/>
        <w:rPr>
          <w:rFonts w:ascii="Arial" w:hAnsi="Arial" w:cs="Arial"/>
        </w:rPr>
      </w:pPr>
      <w:r w:rsidRPr="00170ADE">
        <w:rPr>
          <w:rFonts w:ascii="Arial" w:hAnsi="Arial" w:cs="Arial"/>
        </w:rPr>
        <w:t>For this paper, a correlational study was also conducted between government borrowing and lending rates from local Kenyan banks</w:t>
      </w:r>
      <w:r w:rsidR="009B24FF">
        <w:rPr>
          <w:rFonts w:ascii="Arial" w:hAnsi="Arial" w:cs="Arial"/>
        </w:rPr>
        <w:t>, which revealed a</w:t>
      </w:r>
      <w:r w:rsidR="00D078C7">
        <w:rPr>
          <w:rFonts w:ascii="Arial" w:hAnsi="Arial" w:cs="Arial"/>
        </w:rPr>
        <w:t xml:space="preserve"> </w:t>
      </w:r>
      <w:r w:rsidR="009B24FF">
        <w:rPr>
          <w:rFonts w:ascii="Arial" w:hAnsi="Arial" w:cs="Arial"/>
        </w:rPr>
        <w:t>strong positive</w:t>
      </w:r>
      <w:r w:rsidRPr="00170ADE">
        <w:rPr>
          <w:rFonts w:ascii="Arial" w:hAnsi="Arial" w:cs="Arial"/>
        </w:rPr>
        <w:t xml:space="preserve"> correlation of </w:t>
      </w:r>
      <w:r w:rsidR="009B24FF">
        <w:rPr>
          <w:rFonts w:ascii="Arial" w:hAnsi="Arial" w:cs="Arial"/>
        </w:rPr>
        <w:t>r=0.86935</w:t>
      </w:r>
      <w:r w:rsidRPr="00170ADE">
        <w:rPr>
          <w:rFonts w:ascii="Arial" w:hAnsi="Arial" w:cs="Arial"/>
        </w:rPr>
        <w:t>. This finding implies a direct relationship between public sector domestic borrowing and the cost of credit to private individuals and businesses. When the Kenyan government borrows heavily from local banks</w:t>
      </w:r>
      <w:r w:rsidR="009B24FF">
        <w:rPr>
          <w:rFonts w:ascii="Arial" w:hAnsi="Arial" w:cs="Arial"/>
        </w:rPr>
        <w:t>, it competes with the private sector for capital,</w:t>
      </w:r>
      <w:r w:rsidRPr="00170ADE">
        <w:rPr>
          <w:rFonts w:ascii="Arial" w:hAnsi="Arial" w:cs="Arial"/>
        </w:rPr>
        <w:t xml:space="preserve"> pushing lending rates up and crowding out private investment. This link means that investors </w:t>
      </w:r>
      <w:r w:rsidR="00347422">
        <w:rPr>
          <w:rFonts w:ascii="Arial" w:hAnsi="Arial" w:cs="Arial"/>
        </w:rPr>
        <w:t xml:space="preserve">must closely watch domestic borrowing trends, as it could make financing for private projects more expensive and slow </w:t>
      </w:r>
      <w:r w:rsidRPr="00170ADE">
        <w:rPr>
          <w:rFonts w:ascii="Arial" w:hAnsi="Arial" w:cs="Arial"/>
        </w:rPr>
        <w:t>economic growth</w:t>
      </w:r>
      <w:r w:rsidR="00AF71CC">
        <w:rPr>
          <w:rFonts w:ascii="Arial" w:hAnsi="Arial" w:cs="Arial"/>
        </w:rPr>
        <w:t xml:space="preserve"> (see Figure </w:t>
      </w:r>
      <w:r w:rsidR="00347422">
        <w:rPr>
          <w:rFonts w:ascii="Arial" w:hAnsi="Arial" w:cs="Arial"/>
        </w:rPr>
        <w:t>3</w:t>
      </w:r>
      <w:r w:rsidR="00AF71CC">
        <w:rPr>
          <w:rFonts w:ascii="Arial" w:hAnsi="Arial" w:cs="Arial"/>
        </w:rPr>
        <w:t>)</w:t>
      </w:r>
      <w:r w:rsidRPr="00170ADE">
        <w:rPr>
          <w:rFonts w:ascii="Arial" w:hAnsi="Arial" w:cs="Arial"/>
        </w:rPr>
        <w:t>.</w:t>
      </w:r>
    </w:p>
    <w:p w14:paraId="7EB07E7A" w14:textId="77777777" w:rsidR="002E75C2" w:rsidRDefault="002E75C2" w:rsidP="00FA1E1E">
      <w:pPr>
        <w:pStyle w:val="BodyText"/>
        <w:spacing w:before="120"/>
        <w:ind w:firstLine="283"/>
        <w:rPr>
          <w:rFonts w:ascii="Arial" w:hAnsi="Arial" w:cs="Arial"/>
        </w:rPr>
      </w:pPr>
    </w:p>
    <w:p w14:paraId="71D01F0E" w14:textId="04F59B2C" w:rsidR="00170ADE" w:rsidRDefault="009B24FF" w:rsidP="009B24FF">
      <w:pPr>
        <w:pStyle w:val="BodyText"/>
        <w:spacing w:before="120"/>
        <w:ind w:firstLine="283"/>
        <w:jc w:val="center"/>
        <w:rPr>
          <w:rFonts w:ascii="Arial" w:hAnsi="Arial" w:cs="Arial"/>
        </w:rPr>
      </w:pPr>
      <w:r>
        <w:rPr>
          <w:noProof/>
        </w:rPr>
        <w:drawing>
          <wp:inline distT="0" distB="0" distL="0" distR="0" wp14:anchorId="5D4E967D" wp14:editId="77FE883E">
            <wp:extent cx="2742669" cy="2742669"/>
            <wp:effectExtent l="0" t="0" r="635" b="635"/>
            <wp:docPr id="421207416" name="Picture 3" descr="A graph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207416" name="Picture 3" descr="A graph with black dot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2761856" cy="2761856"/>
                    </a:xfrm>
                    <a:prstGeom prst="rect">
                      <a:avLst/>
                    </a:prstGeom>
                  </pic:spPr>
                </pic:pic>
              </a:graphicData>
            </a:graphic>
          </wp:inline>
        </w:drawing>
      </w:r>
    </w:p>
    <w:p w14:paraId="782ED33D" w14:textId="3FF495C3" w:rsidR="00AF71CC" w:rsidRDefault="00AF71CC" w:rsidP="00FA1E1E">
      <w:pPr>
        <w:pStyle w:val="BodyText"/>
        <w:spacing w:before="120"/>
        <w:ind w:firstLine="283"/>
        <w:rPr>
          <w:rFonts w:ascii="Arial" w:hAnsi="Arial" w:cs="Arial"/>
        </w:rPr>
      </w:pPr>
      <w:r w:rsidRPr="00932A6B">
        <w:rPr>
          <w:rFonts w:ascii="Arial" w:hAnsi="Arial" w:cs="Arial"/>
          <w:i/>
          <w:iCs/>
        </w:rPr>
        <w:t xml:space="preserve">Figure </w:t>
      </w:r>
      <w:r w:rsidR="00347422">
        <w:rPr>
          <w:rFonts w:ascii="Arial" w:hAnsi="Arial" w:cs="Arial"/>
          <w:i/>
          <w:iCs/>
        </w:rPr>
        <w:t>3</w:t>
      </w:r>
      <w:r w:rsidRPr="008214CA">
        <w:rPr>
          <w:rFonts w:ascii="Arial" w:hAnsi="Arial" w:cs="Arial"/>
        </w:rPr>
        <w:t xml:space="preserve">. Government </w:t>
      </w:r>
      <w:r w:rsidR="00880796">
        <w:rPr>
          <w:rFonts w:ascii="Arial" w:hAnsi="Arial" w:cs="Arial"/>
        </w:rPr>
        <w:t xml:space="preserve">Borrowing </w:t>
      </w:r>
      <w:r w:rsidR="00347422">
        <w:rPr>
          <w:rFonts w:ascii="Arial" w:hAnsi="Arial" w:cs="Arial"/>
        </w:rPr>
        <w:t>and</w:t>
      </w:r>
      <w:r w:rsidR="00880796">
        <w:rPr>
          <w:rFonts w:ascii="Arial" w:hAnsi="Arial" w:cs="Arial"/>
        </w:rPr>
        <w:t xml:space="preserve"> Lending</w:t>
      </w:r>
    </w:p>
    <w:p w14:paraId="393461E3" w14:textId="77777777" w:rsidR="00CB5CC8" w:rsidRDefault="00CB5CC8" w:rsidP="00FA1E1E">
      <w:pPr>
        <w:pStyle w:val="BodyText"/>
        <w:spacing w:before="120"/>
        <w:ind w:firstLine="283"/>
        <w:rPr>
          <w:rFonts w:ascii="Arial" w:hAnsi="Arial" w:cs="Arial"/>
        </w:rPr>
      </w:pPr>
    </w:p>
    <w:p w14:paraId="615121CD" w14:textId="77777777" w:rsidR="002E75C2" w:rsidRDefault="002E75C2" w:rsidP="00FA1E1E">
      <w:pPr>
        <w:pStyle w:val="BodyText"/>
        <w:spacing w:before="120"/>
        <w:ind w:firstLine="283"/>
        <w:rPr>
          <w:rFonts w:ascii="Arial" w:hAnsi="Arial" w:cs="Arial"/>
        </w:rPr>
      </w:pPr>
    </w:p>
    <w:p w14:paraId="63012FAF" w14:textId="77777777" w:rsidR="002E75C2" w:rsidRDefault="002E75C2" w:rsidP="00FA1E1E">
      <w:pPr>
        <w:pStyle w:val="BodyText"/>
        <w:spacing w:before="120"/>
        <w:ind w:firstLine="283"/>
        <w:rPr>
          <w:rFonts w:ascii="Arial" w:hAnsi="Arial" w:cs="Arial"/>
        </w:rPr>
      </w:pPr>
    </w:p>
    <w:p w14:paraId="7425D218" w14:textId="77777777" w:rsidR="002E75C2" w:rsidRDefault="002E75C2" w:rsidP="00FA1E1E">
      <w:pPr>
        <w:pStyle w:val="BodyText"/>
        <w:spacing w:before="120"/>
        <w:ind w:firstLine="283"/>
        <w:rPr>
          <w:rFonts w:ascii="Arial" w:hAnsi="Arial" w:cs="Arial"/>
        </w:rPr>
      </w:pPr>
    </w:p>
    <w:p w14:paraId="31EDD035" w14:textId="77777777" w:rsidR="002E75C2" w:rsidRDefault="002E75C2" w:rsidP="00FA1E1E">
      <w:pPr>
        <w:pStyle w:val="BodyText"/>
        <w:spacing w:before="120"/>
        <w:ind w:firstLine="283"/>
        <w:rPr>
          <w:rFonts w:ascii="Arial" w:hAnsi="Arial" w:cs="Arial"/>
        </w:rPr>
      </w:pPr>
    </w:p>
    <w:p w14:paraId="4F08B723" w14:textId="608697BE" w:rsidR="00D86AD9" w:rsidRPr="00D76ACA" w:rsidRDefault="00F00FD2" w:rsidP="00617617">
      <w:pPr>
        <w:pStyle w:val="Heading1"/>
        <w:numPr>
          <w:ilvl w:val="0"/>
          <w:numId w:val="8"/>
        </w:numPr>
        <w:tabs>
          <w:tab w:val="num" w:pos="576"/>
        </w:tabs>
        <w:spacing w:before="120" w:after="120"/>
        <w:jc w:val="both"/>
        <w:rPr>
          <w:rFonts w:ascii="Arial" w:eastAsia="MS Mincho" w:hAnsi="Arial" w:cs="Arial"/>
        </w:rPr>
      </w:pPr>
      <w:r w:rsidRPr="00D76ACA">
        <w:rPr>
          <w:rFonts w:ascii="Arial" w:eastAsia="MS Mincho" w:hAnsi="Arial" w:cs="Arial"/>
        </w:rPr>
        <w:t xml:space="preserve">Conclusions </w:t>
      </w:r>
      <w:r w:rsidR="00D76ACA" w:rsidRPr="00D76ACA">
        <w:rPr>
          <w:rFonts w:ascii="Arial" w:eastAsia="MS Mincho" w:hAnsi="Arial" w:cs="Arial"/>
        </w:rPr>
        <w:t>and</w:t>
      </w:r>
      <w:r w:rsidRPr="00D76ACA">
        <w:rPr>
          <w:rFonts w:ascii="Arial" w:eastAsia="MS Mincho" w:hAnsi="Arial" w:cs="Arial"/>
        </w:rPr>
        <w:t xml:space="preserve"> Recommendations for Investors</w:t>
      </w:r>
    </w:p>
    <w:p w14:paraId="410837B4" w14:textId="345B89BB" w:rsidR="00E84599" w:rsidRDefault="00D078C7" w:rsidP="00DE12EE">
      <w:pPr>
        <w:pStyle w:val="BodyText"/>
        <w:spacing w:before="120" w:line="240" w:lineRule="auto"/>
        <w:ind w:firstLine="283"/>
        <w:rPr>
          <w:rFonts w:ascii="Arial" w:hAnsi="Arial" w:cs="Arial"/>
        </w:rPr>
      </w:pPr>
      <w:r>
        <w:rPr>
          <w:rFonts w:ascii="Arial" w:hAnsi="Arial" w:cs="Arial"/>
        </w:rPr>
        <w:t>Analyzing</w:t>
      </w:r>
      <w:r w:rsidR="00E84599" w:rsidRPr="00E84599">
        <w:rPr>
          <w:rFonts w:ascii="Arial" w:hAnsi="Arial" w:cs="Arial"/>
        </w:rPr>
        <w:t xml:space="preserve"> inflation trends in government domestic debt reveals important and subtle signals for current and future investors. While the annual average and 12-month inflation show statistically weak correlations with government debt levels, this suggests that inflation alone is not a primary driver for debt accumulation. However, it is a player in shaping </w:t>
      </w:r>
      <w:r>
        <w:rPr>
          <w:rFonts w:ascii="Arial" w:hAnsi="Arial" w:cs="Arial"/>
        </w:rPr>
        <w:t>Kenya's fiscal policies, interest rates, and general investment climate</w:t>
      </w:r>
      <w:r w:rsidR="00E84599" w:rsidRPr="00E84599">
        <w:rPr>
          <w:rFonts w:ascii="Arial" w:hAnsi="Arial" w:cs="Arial"/>
        </w:rPr>
        <w:t xml:space="preserve">. For investors, this data is critical for decision-making. Inflation has been shown to erode real returns, especially for fixed-income investments </w:t>
      </w:r>
      <w:r w:rsidR="00C94F82">
        <w:rPr>
          <w:rFonts w:ascii="Arial" w:hAnsi="Arial" w:cs="Arial"/>
        </w:rPr>
        <w:t>[9]</w:t>
      </w:r>
      <w:r w:rsidR="00E84599" w:rsidRPr="00E84599">
        <w:rPr>
          <w:rFonts w:ascii="Arial" w:hAnsi="Arial" w:cs="Arial"/>
        </w:rPr>
        <w:t xml:space="preserve">. </w:t>
      </w:r>
    </w:p>
    <w:p w14:paraId="51427E64" w14:textId="7860D028" w:rsidR="002E5EF3" w:rsidRDefault="002E5EF3" w:rsidP="00286060">
      <w:pPr>
        <w:pStyle w:val="BodyText"/>
        <w:spacing w:before="120"/>
        <w:ind w:firstLine="283"/>
        <w:rPr>
          <w:rFonts w:ascii="Arial" w:hAnsi="Arial" w:cs="Arial"/>
        </w:rPr>
      </w:pPr>
      <w:r w:rsidRPr="002E5EF3">
        <w:rPr>
          <w:rFonts w:ascii="Arial" w:hAnsi="Arial" w:cs="Arial"/>
        </w:rPr>
        <w:t xml:space="preserve">Additionally, the increase in government domestic debts could imply future tax policy shifts, austerity measures, and adjustments in public sector investments, which affect business environments and investor returns. Finally, inflation rates </w:t>
      </w:r>
      <w:r w:rsidR="00D078C7">
        <w:rPr>
          <w:rFonts w:ascii="Arial" w:hAnsi="Arial" w:cs="Arial"/>
        </w:rPr>
        <w:t>indicate</w:t>
      </w:r>
      <w:r w:rsidRPr="002E5EF3">
        <w:rPr>
          <w:rFonts w:ascii="Arial" w:hAnsi="Arial" w:cs="Arial"/>
        </w:rPr>
        <w:t xml:space="preserve"> fiscal tightening and reduced customer demand, especially for investors in FCMG products. Investors should look out for the following metrics for deeper decision-making. The metrics</w:t>
      </w:r>
      <w:r w:rsidR="00D078C7">
        <w:rPr>
          <w:rFonts w:ascii="Arial" w:hAnsi="Arial" w:cs="Arial"/>
        </w:rPr>
        <w:t>, such as inflation rates, government debt to GDP ratio, interest rates, exchange rate stability, primary budget balance, and sovereign credit ratings,</w:t>
      </w:r>
      <w:r w:rsidRPr="002E5EF3">
        <w:rPr>
          <w:rFonts w:ascii="Arial" w:hAnsi="Arial" w:cs="Arial"/>
        </w:rPr>
        <w:t xml:space="preserve"> affect external and internal investors </w:t>
      </w:r>
      <w:r w:rsidR="00C94F82">
        <w:rPr>
          <w:rFonts w:ascii="Arial" w:hAnsi="Arial" w:cs="Arial"/>
        </w:rPr>
        <w:t>[9]</w:t>
      </w:r>
      <w:r w:rsidRPr="002E5EF3">
        <w:rPr>
          <w:rFonts w:ascii="Arial" w:hAnsi="Arial" w:cs="Arial"/>
        </w:rPr>
        <w:t xml:space="preserve">. </w:t>
      </w:r>
    </w:p>
    <w:p w14:paraId="73BDE6FA" w14:textId="7E699652" w:rsidR="009A640E" w:rsidRDefault="009A640E" w:rsidP="00286060">
      <w:pPr>
        <w:pStyle w:val="BodyText"/>
        <w:spacing w:before="120" w:line="240" w:lineRule="auto"/>
        <w:ind w:firstLine="283"/>
        <w:rPr>
          <w:rFonts w:ascii="Arial" w:hAnsi="Arial" w:cs="Arial"/>
        </w:rPr>
      </w:pPr>
      <w:r w:rsidRPr="009A640E">
        <w:rPr>
          <w:rFonts w:ascii="Arial" w:hAnsi="Arial" w:cs="Arial"/>
        </w:rPr>
        <w:t xml:space="preserve">Inflation rates </w:t>
      </w:r>
      <w:r w:rsidR="00D078C7">
        <w:rPr>
          <w:rFonts w:ascii="Arial" w:hAnsi="Arial" w:cs="Arial"/>
        </w:rPr>
        <w:t xml:space="preserve">help the investor understand purchasing power and future interest rate trends, while the government debt-to-GDP ratio </w:t>
      </w:r>
      <w:r w:rsidR="00705BE9">
        <w:rPr>
          <w:rFonts w:ascii="Arial" w:hAnsi="Arial" w:cs="Arial"/>
        </w:rPr>
        <w:t>indicates</w:t>
      </w:r>
      <w:r w:rsidR="00D078C7">
        <w:rPr>
          <w:rFonts w:ascii="Arial" w:hAnsi="Arial" w:cs="Arial"/>
        </w:rPr>
        <w:t xml:space="preserve"> the country’s ability to manage and repay its debts. Additionally, the central bank's interest rates</w:t>
      </w:r>
      <w:r w:rsidRPr="009A640E">
        <w:rPr>
          <w:rFonts w:ascii="Arial" w:hAnsi="Arial" w:cs="Arial"/>
        </w:rPr>
        <w:t xml:space="preserve"> directly influence borrowing costs and investment returns, while exchange rate </w:t>
      </w:r>
      <w:r w:rsidR="00705BE9">
        <w:rPr>
          <w:rFonts w:ascii="Arial" w:hAnsi="Arial" w:cs="Arial"/>
        </w:rPr>
        <w:t>in</w:t>
      </w:r>
      <w:r w:rsidRPr="009A640E">
        <w:rPr>
          <w:rFonts w:ascii="Arial" w:hAnsi="Arial" w:cs="Arial"/>
        </w:rPr>
        <w:t xml:space="preserve">stability could trigger currency volatility, affecting returns on foreign investments. </w:t>
      </w:r>
    </w:p>
    <w:p w14:paraId="10DB83FC" w14:textId="1AE1B2ED" w:rsidR="00BB63AB" w:rsidRDefault="00BB63AB" w:rsidP="00DE12EE">
      <w:pPr>
        <w:pStyle w:val="BodyText"/>
        <w:spacing w:before="120" w:line="240" w:lineRule="auto"/>
        <w:ind w:firstLine="283"/>
        <w:rPr>
          <w:rFonts w:ascii="Arial" w:hAnsi="Arial" w:cs="Arial"/>
        </w:rPr>
      </w:pPr>
      <w:r w:rsidRPr="00BB63AB">
        <w:rPr>
          <w:rFonts w:ascii="Arial" w:hAnsi="Arial" w:cs="Arial"/>
        </w:rPr>
        <w:t xml:space="preserve">Finally, the primary budget balance is a sign of fiscal discipline, which could predict future borrowing needs, while sovereign credit ratings reflect the country’s creditworthiness and investment risk, </w:t>
      </w:r>
      <w:r w:rsidR="00D078C7">
        <w:rPr>
          <w:rFonts w:ascii="Arial" w:hAnsi="Arial" w:cs="Arial"/>
        </w:rPr>
        <w:t>indicating</w:t>
      </w:r>
      <w:r w:rsidRPr="00BB63AB">
        <w:rPr>
          <w:rFonts w:ascii="Arial" w:hAnsi="Arial" w:cs="Arial"/>
        </w:rPr>
        <w:t xml:space="preserve"> the environment for investing. </w:t>
      </w:r>
      <w:r w:rsidR="00D078C7">
        <w:rPr>
          <w:rFonts w:ascii="Arial" w:hAnsi="Arial" w:cs="Arial"/>
        </w:rPr>
        <w:t>Investors</w:t>
      </w:r>
      <w:r w:rsidRPr="00BB63AB">
        <w:rPr>
          <w:rFonts w:ascii="Arial" w:hAnsi="Arial" w:cs="Arial"/>
        </w:rPr>
        <w:t xml:space="preserve"> should diversify geographically and by asset class, especially for growing economies </w:t>
      </w:r>
      <w:r w:rsidR="00D078C7">
        <w:rPr>
          <w:rFonts w:ascii="Arial" w:hAnsi="Arial" w:cs="Arial"/>
        </w:rPr>
        <w:t>like</w:t>
      </w:r>
      <w:r w:rsidRPr="00BB63AB">
        <w:rPr>
          <w:rFonts w:ascii="Arial" w:hAnsi="Arial" w:cs="Arial"/>
        </w:rPr>
        <w:t xml:space="preserve"> Kenya, to hedge against local economic risks such as debt crises and inflation spikes. Additionally, they should monitor macroeconomic policies closely, especially those that affect fiscal policy updates such as taxation and tariffs </w:t>
      </w:r>
      <w:r w:rsidR="00C94F82">
        <w:rPr>
          <w:rFonts w:ascii="Arial" w:hAnsi="Arial" w:cs="Arial"/>
        </w:rPr>
        <w:t>[9]</w:t>
      </w:r>
      <w:r w:rsidRPr="00BB63AB">
        <w:rPr>
          <w:rFonts w:ascii="Arial" w:hAnsi="Arial" w:cs="Arial"/>
        </w:rPr>
        <w:t xml:space="preserve">. Lastly, investors should use </w:t>
      </w:r>
      <w:r w:rsidR="00D078C7">
        <w:rPr>
          <w:rFonts w:ascii="Arial" w:hAnsi="Arial" w:cs="Arial"/>
        </w:rPr>
        <w:t>the government's inflation-protected instruments</w:t>
      </w:r>
      <w:r w:rsidRPr="00BB63AB">
        <w:rPr>
          <w:rFonts w:ascii="Arial" w:hAnsi="Arial" w:cs="Arial"/>
        </w:rPr>
        <w:t>, such as treasury bonds, when inflation is high.</w:t>
      </w:r>
    </w:p>
    <w:p w14:paraId="3F5A5C72" w14:textId="4D701BA9" w:rsidR="00F06C4A" w:rsidRPr="00BF6D66" w:rsidRDefault="007E01C9" w:rsidP="00EF3F62">
      <w:pPr>
        <w:pStyle w:val="Heading1"/>
        <w:numPr>
          <w:ilvl w:val="0"/>
          <w:numId w:val="8"/>
        </w:numPr>
        <w:tabs>
          <w:tab w:val="num" w:pos="576"/>
        </w:tabs>
        <w:spacing w:before="120" w:after="120"/>
        <w:jc w:val="both"/>
        <w:rPr>
          <w:rFonts w:ascii="Arial" w:eastAsia="MS Mincho" w:hAnsi="Arial" w:cs="Arial"/>
        </w:rPr>
      </w:pPr>
      <w:r w:rsidRPr="00BF6D66">
        <w:rPr>
          <w:rFonts w:ascii="Arial" w:eastAsia="MS Mincho" w:hAnsi="Arial" w:cs="Arial"/>
        </w:rPr>
        <w:t>References</w:t>
      </w:r>
    </w:p>
    <w:p w14:paraId="3078F6E8" w14:textId="5CA12D6D" w:rsidR="00D35146" w:rsidRDefault="009F4854" w:rsidP="00D35146">
      <w:pPr>
        <w:pStyle w:val="BodyText"/>
        <w:spacing w:before="120"/>
        <w:ind w:firstLine="283"/>
        <w:rPr>
          <w:rFonts w:ascii="Arial" w:hAnsi="Arial" w:cs="Arial"/>
        </w:rPr>
      </w:pPr>
      <w:r>
        <w:rPr>
          <w:rFonts w:ascii="Arial" w:hAnsi="Arial" w:cs="Arial"/>
        </w:rPr>
        <w:t xml:space="preserve">[1] </w:t>
      </w:r>
      <w:r w:rsidR="00D35146" w:rsidRPr="00D35146">
        <w:rPr>
          <w:rFonts w:ascii="Arial" w:hAnsi="Arial" w:cs="Arial"/>
        </w:rPr>
        <w:t xml:space="preserve">Aimol, A. U., &amp; Odhiambo, N. M. (2020). External debt, domestic debt and economic growth: The case of Nigeria. Advances in Economics and Business, 8(2), 85-94. </w:t>
      </w:r>
      <w:hyperlink r:id="rId17" w:history="1">
        <w:r w:rsidR="0065632B" w:rsidRPr="00952F14">
          <w:rPr>
            <w:rStyle w:val="Hyperlink"/>
            <w:rFonts w:ascii="Arial" w:hAnsi="Arial" w:cs="Arial"/>
          </w:rPr>
          <w:t>https://doi.org/10.13189/aeb.2020.080202</w:t>
        </w:r>
      </w:hyperlink>
    </w:p>
    <w:p w14:paraId="33DDF804" w14:textId="4433A007" w:rsidR="0065632B" w:rsidRDefault="0065632B" w:rsidP="0065632B">
      <w:pPr>
        <w:pStyle w:val="BodyText"/>
        <w:spacing w:before="120"/>
        <w:ind w:firstLine="283"/>
        <w:rPr>
          <w:rFonts w:ascii="Arial" w:hAnsi="Arial" w:cs="Arial"/>
        </w:rPr>
      </w:pPr>
      <w:r>
        <w:rPr>
          <w:rFonts w:ascii="Arial" w:hAnsi="Arial" w:cs="Arial"/>
        </w:rPr>
        <w:t xml:space="preserve">[2] </w:t>
      </w:r>
      <w:r w:rsidRPr="00D35146">
        <w:rPr>
          <w:rFonts w:ascii="Arial" w:hAnsi="Arial" w:cs="Arial"/>
        </w:rPr>
        <w:t xml:space="preserve">Omer, N. (2024). Thursday briefing: How one controversial bill has Kenya on the brink of disorder. the Guardian. </w:t>
      </w:r>
      <w:hyperlink r:id="rId18" w:history="1">
        <w:r w:rsidRPr="00952F14">
          <w:rPr>
            <w:rStyle w:val="Hyperlink"/>
            <w:rFonts w:ascii="Arial" w:hAnsi="Arial" w:cs="Arial"/>
          </w:rPr>
          <w:t>https://www.theguardian.com/world/article/2024/jul/18/first-edition-kenya-public-protests-finance-bill</w:t>
        </w:r>
      </w:hyperlink>
    </w:p>
    <w:p w14:paraId="0888B778" w14:textId="1D34E57B" w:rsidR="00057AB1" w:rsidRDefault="00057AB1" w:rsidP="00057AB1">
      <w:pPr>
        <w:pStyle w:val="BodyText"/>
        <w:spacing w:before="120"/>
        <w:ind w:firstLine="283"/>
        <w:rPr>
          <w:rFonts w:ascii="Arial" w:hAnsi="Arial" w:cs="Arial"/>
        </w:rPr>
      </w:pPr>
      <w:r>
        <w:rPr>
          <w:rFonts w:ascii="Arial" w:hAnsi="Arial" w:cs="Arial"/>
        </w:rPr>
        <w:t xml:space="preserve">[3] </w:t>
      </w:r>
      <w:r w:rsidRPr="00D35146">
        <w:rPr>
          <w:rFonts w:ascii="Arial" w:hAnsi="Arial" w:cs="Arial"/>
        </w:rPr>
        <w:t xml:space="preserve">Sylla, N. S. (2023). Imperialism and Global South's debt: Insights from modern monetary theory, ecological economics, and dependency theory. Research in Political Economy, 193-222. </w:t>
      </w:r>
      <w:hyperlink r:id="rId19" w:history="1">
        <w:r w:rsidR="00517776" w:rsidRPr="00952F14">
          <w:rPr>
            <w:rStyle w:val="Hyperlink"/>
            <w:rFonts w:ascii="Arial" w:hAnsi="Arial" w:cs="Arial"/>
          </w:rPr>
          <w:t>https://doi.org/10.1108/s0161-723020230000038008</w:t>
        </w:r>
      </w:hyperlink>
    </w:p>
    <w:p w14:paraId="26275C7A" w14:textId="5E447FEB" w:rsidR="00517776" w:rsidRDefault="00517776" w:rsidP="00517776">
      <w:pPr>
        <w:pStyle w:val="BodyText"/>
        <w:spacing w:before="120"/>
        <w:ind w:firstLine="283"/>
        <w:rPr>
          <w:rFonts w:ascii="Arial" w:hAnsi="Arial" w:cs="Arial"/>
        </w:rPr>
      </w:pPr>
      <w:r>
        <w:rPr>
          <w:rFonts w:ascii="Arial" w:hAnsi="Arial" w:cs="Arial"/>
        </w:rPr>
        <w:t xml:space="preserve">[4] </w:t>
      </w:r>
      <w:r w:rsidRPr="00D35146">
        <w:rPr>
          <w:rFonts w:ascii="Arial" w:hAnsi="Arial" w:cs="Arial"/>
        </w:rPr>
        <w:t xml:space="preserve">Thiongó, J. (2025). SHIF: Private hospitals warn system could collapse in 12 months. The Standard. </w:t>
      </w:r>
      <w:hyperlink r:id="rId20" w:history="1">
        <w:r w:rsidRPr="00952F14">
          <w:rPr>
            <w:rStyle w:val="Hyperlink"/>
            <w:rFonts w:ascii="Arial" w:hAnsi="Arial" w:cs="Arial"/>
          </w:rPr>
          <w:t>https://www.standardmedia.co.ke/national/article/2001513157/shif-private-hospitals-warn-system-could-collapse-in-12-months</w:t>
        </w:r>
      </w:hyperlink>
    </w:p>
    <w:p w14:paraId="5B4D0A19" w14:textId="65AC0041" w:rsidR="00BF6F45" w:rsidRDefault="00BF6F45" w:rsidP="00BF6F45">
      <w:pPr>
        <w:pStyle w:val="BodyText"/>
        <w:spacing w:before="120"/>
        <w:ind w:firstLine="283"/>
        <w:rPr>
          <w:rFonts w:ascii="Arial" w:hAnsi="Arial" w:cs="Arial"/>
        </w:rPr>
      </w:pPr>
      <w:r>
        <w:rPr>
          <w:rFonts w:ascii="Arial" w:hAnsi="Arial" w:cs="Arial"/>
        </w:rPr>
        <w:t xml:space="preserve">[5] </w:t>
      </w:r>
      <w:r w:rsidRPr="00D35146">
        <w:rPr>
          <w:rFonts w:ascii="Arial" w:hAnsi="Arial" w:cs="Arial"/>
        </w:rPr>
        <w:t xml:space="preserve">Central Bank of Kenya. (2024). Government finance statistics. CBK | Central Bank of Kenya. </w:t>
      </w:r>
      <w:hyperlink r:id="rId21" w:history="1">
        <w:r w:rsidRPr="00952F14">
          <w:rPr>
            <w:rStyle w:val="Hyperlink"/>
            <w:rFonts w:ascii="Arial" w:hAnsi="Arial" w:cs="Arial"/>
          </w:rPr>
          <w:t>https://www.centralbank.go.ke/statistics/government-finance-statistics/</w:t>
        </w:r>
      </w:hyperlink>
    </w:p>
    <w:p w14:paraId="54F965F4" w14:textId="04F7BA5F" w:rsidR="00BF6F45" w:rsidRDefault="00BF6F45" w:rsidP="00BF6F45">
      <w:pPr>
        <w:pStyle w:val="BodyText"/>
        <w:spacing w:before="120"/>
        <w:ind w:firstLine="283"/>
        <w:rPr>
          <w:rFonts w:ascii="Arial" w:hAnsi="Arial" w:cs="Arial"/>
        </w:rPr>
      </w:pPr>
      <w:r>
        <w:rPr>
          <w:rFonts w:ascii="Arial" w:hAnsi="Arial" w:cs="Arial"/>
        </w:rPr>
        <w:t xml:space="preserve">[6] </w:t>
      </w:r>
      <w:r w:rsidRPr="00D35146">
        <w:rPr>
          <w:rFonts w:ascii="Arial" w:hAnsi="Arial" w:cs="Arial"/>
        </w:rPr>
        <w:t xml:space="preserve">Central Bank of Kenya. (2024). Inflation rates. CBK | Central Bank of Kenya. </w:t>
      </w:r>
      <w:hyperlink r:id="rId22" w:history="1">
        <w:r w:rsidRPr="00952F14">
          <w:rPr>
            <w:rStyle w:val="Hyperlink"/>
            <w:rFonts w:ascii="Arial" w:hAnsi="Arial" w:cs="Arial"/>
          </w:rPr>
          <w:t>https://www.centralbank.go.ke/inflation-rates/</w:t>
        </w:r>
      </w:hyperlink>
    </w:p>
    <w:p w14:paraId="5CC8C287" w14:textId="58C04CA7" w:rsidR="00BF6F45" w:rsidRDefault="00BF6F45" w:rsidP="00BF6F45">
      <w:pPr>
        <w:pStyle w:val="BodyText"/>
        <w:spacing w:before="120"/>
        <w:ind w:firstLine="283"/>
        <w:rPr>
          <w:rFonts w:ascii="Arial" w:hAnsi="Arial" w:cs="Arial"/>
        </w:rPr>
      </w:pPr>
      <w:r>
        <w:rPr>
          <w:rFonts w:ascii="Arial" w:hAnsi="Arial" w:cs="Arial"/>
        </w:rPr>
        <w:t xml:space="preserve">[7] </w:t>
      </w:r>
      <w:r w:rsidRPr="00D35146">
        <w:rPr>
          <w:rFonts w:ascii="Arial" w:hAnsi="Arial" w:cs="Arial"/>
        </w:rPr>
        <w:t xml:space="preserve">Kenya National Bureau of Statistics. (2024). 1 | P a g e Understanding Kenya's Consumer Price Index </w:t>
      </w:r>
      <w:r w:rsidRPr="00D35146">
        <w:rPr>
          <w:rFonts w:ascii="Arial" w:hAnsi="Arial" w:cs="Arial"/>
        </w:rPr>
        <w:t xml:space="preserve">(CPI): A Crucial Economic Indicator. Kenya National Bureau of Statistics - Kenya's Top Data Site. </w:t>
      </w:r>
      <w:hyperlink r:id="rId23" w:history="1">
        <w:r w:rsidRPr="00952F14">
          <w:rPr>
            <w:rStyle w:val="Hyperlink"/>
            <w:rFonts w:ascii="Arial" w:hAnsi="Arial" w:cs="Arial"/>
          </w:rPr>
          <w:t>https://www.knbs.or.ke/wp-content/uploads/2024/06/Kenya-Consumer-Price-Indices-Article-on-CPI.pdf</w:t>
        </w:r>
      </w:hyperlink>
    </w:p>
    <w:p w14:paraId="541EFCD7" w14:textId="13FF180E" w:rsidR="00D82FAF" w:rsidRDefault="00D82FAF" w:rsidP="00D82FAF">
      <w:pPr>
        <w:pStyle w:val="BodyText"/>
        <w:spacing w:before="120"/>
        <w:ind w:firstLine="283"/>
        <w:rPr>
          <w:rFonts w:ascii="Arial" w:hAnsi="Arial" w:cs="Arial"/>
        </w:rPr>
      </w:pPr>
      <w:r>
        <w:rPr>
          <w:rFonts w:ascii="Arial" w:hAnsi="Arial" w:cs="Arial"/>
        </w:rPr>
        <w:t xml:space="preserve">[8] </w:t>
      </w:r>
      <w:r w:rsidRPr="00D35146">
        <w:rPr>
          <w:rFonts w:ascii="Arial" w:hAnsi="Arial" w:cs="Arial"/>
        </w:rPr>
        <w:t xml:space="preserve">Aimola, A. U., &amp; Odhiambo, N. M. (2020). Public debt and inflation: A review of international literature. Folia Oeconomica Stetinensia, 20(1), 9-24. </w:t>
      </w:r>
      <w:hyperlink r:id="rId24" w:history="1">
        <w:r w:rsidRPr="00952F14">
          <w:rPr>
            <w:rStyle w:val="Hyperlink"/>
            <w:rFonts w:ascii="Arial" w:hAnsi="Arial" w:cs="Arial"/>
          </w:rPr>
          <w:t>https://doi.org/10.2478/foli-2020-0001</w:t>
        </w:r>
      </w:hyperlink>
    </w:p>
    <w:p w14:paraId="616BDD14" w14:textId="2CB5945D" w:rsidR="00D35146" w:rsidRDefault="00263B21" w:rsidP="00D35146">
      <w:pPr>
        <w:pStyle w:val="BodyText"/>
        <w:spacing w:before="120"/>
        <w:ind w:firstLine="283"/>
        <w:rPr>
          <w:rFonts w:ascii="Arial" w:hAnsi="Arial" w:cs="Arial"/>
        </w:rPr>
      </w:pPr>
      <w:r>
        <w:rPr>
          <w:rFonts w:ascii="Arial" w:hAnsi="Arial" w:cs="Arial"/>
        </w:rPr>
        <w:t xml:space="preserve">[9] </w:t>
      </w:r>
      <w:r w:rsidR="00D35146" w:rsidRPr="00D35146">
        <w:rPr>
          <w:rFonts w:ascii="Arial" w:hAnsi="Arial" w:cs="Arial"/>
        </w:rPr>
        <w:t xml:space="preserve">Mandeya, S. M., &amp; Ho, S. (2021). Inflation, inflation uncertainty and the economic growth nexus: An impact study of South Africa. MethodsX, 8, 101501. </w:t>
      </w:r>
      <w:hyperlink r:id="rId25" w:history="1">
        <w:r w:rsidRPr="00952F14">
          <w:rPr>
            <w:rStyle w:val="Hyperlink"/>
            <w:rFonts w:ascii="Arial" w:hAnsi="Arial" w:cs="Arial"/>
          </w:rPr>
          <w:t>https://doi.org/10.1016/j.mex.2021.101501</w:t>
        </w:r>
      </w:hyperlink>
    </w:p>
    <w:p w14:paraId="0AB8E11C" w14:textId="77777777" w:rsidR="00263B21" w:rsidRPr="00D35146" w:rsidRDefault="00263B21" w:rsidP="00D35146">
      <w:pPr>
        <w:pStyle w:val="BodyText"/>
        <w:spacing w:before="120"/>
        <w:ind w:firstLine="283"/>
        <w:rPr>
          <w:rFonts w:ascii="Arial" w:hAnsi="Arial" w:cs="Arial"/>
        </w:rPr>
      </w:pPr>
    </w:p>
    <w:p w14:paraId="4866C233" w14:textId="77777777" w:rsidR="00CC770E" w:rsidRPr="00E40141" w:rsidRDefault="00CC770E" w:rsidP="00CC770E">
      <w:pPr>
        <w:pStyle w:val="BodyText"/>
        <w:spacing w:before="120"/>
        <w:ind w:firstLine="283"/>
        <w:rPr>
          <w:rFonts w:ascii="Arial" w:hAnsi="Arial" w:cs="Arial"/>
          <w:highlight w:val="yellow"/>
        </w:rPr>
      </w:pPr>
    </w:p>
    <w:p w14:paraId="59C2A500" w14:textId="77777777" w:rsidR="00CC770E" w:rsidRPr="00E40141" w:rsidRDefault="00CC770E" w:rsidP="00CC770E">
      <w:pPr>
        <w:pStyle w:val="BodyText"/>
        <w:spacing w:before="120"/>
        <w:ind w:firstLine="283"/>
        <w:rPr>
          <w:rFonts w:ascii="Arial" w:hAnsi="Arial" w:cs="Arial"/>
          <w:highlight w:val="yellow"/>
        </w:rPr>
      </w:pPr>
    </w:p>
    <w:p w14:paraId="1664F1C5" w14:textId="77777777" w:rsidR="00CC770E" w:rsidRPr="00E40141" w:rsidRDefault="00CC770E" w:rsidP="00F06C4A">
      <w:pPr>
        <w:pStyle w:val="BodyText"/>
        <w:spacing w:before="120"/>
        <w:ind w:firstLine="283"/>
        <w:rPr>
          <w:rFonts w:ascii="Arial" w:hAnsi="Arial" w:cs="Arial"/>
          <w:highlight w:val="yellow"/>
        </w:rPr>
      </w:pPr>
    </w:p>
    <w:p w14:paraId="272A38FD" w14:textId="77777777" w:rsidR="00AE3D64" w:rsidRPr="00E40141" w:rsidRDefault="00AE3D64" w:rsidP="00FE669E">
      <w:pPr>
        <w:pStyle w:val="BodyText"/>
        <w:spacing w:before="120"/>
        <w:ind w:firstLine="283"/>
        <w:rPr>
          <w:rFonts w:ascii="Arial" w:hAnsi="Arial" w:cs="Arial"/>
          <w:highlight w:val="yellow"/>
        </w:rPr>
      </w:pPr>
    </w:p>
    <w:p w14:paraId="6F95BC39" w14:textId="77777777" w:rsidR="00FF7556" w:rsidRPr="00E40141" w:rsidRDefault="00FF7556" w:rsidP="0066709A">
      <w:pPr>
        <w:pStyle w:val="BodyText"/>
        <w:spacing w:before="120" w:line="240" w:lineRule="auto"/>
        <w:ind w:firstLine="283"/>
        <w:rPr>
          <w:rFonts w:ascii="Arial" w:hAnsi="Arial" w:cs="Arial"/>
          <w:highlight w:val="yellow"/>
        </w:rPr>
      </w:pPr>
    </w:p>
    <w:p w14:paraId="64384DD4" w14:textId="77777777" w:rsidR="00892823" w:rsidRPr="00E40141" w:rsidRDefault="00892823" w:rsidP="0066709A">
      <w:pPr>
        <w:pStyle w:val="references"/>
        <w:spacing w:before="120" w:after="120" w:line="240" w:lineRule="auto"/>
        <w:ind w:left="0" w:firstLine="283"/>
        <w:rPr>
          <w:rFonts w:ascii="Arial" w:eastAsia="MS Mincho" w:hAnsi="Arial" w:cs="Arial"/>
          <w:sz w:val="20"/>
          <w:highlight w:val="yellow"/>
        </w:rPr>
        <w:sectPr w:rsidR="00892823" w:rsidRPr="00E40141" w:rsidSect="00892823">
          <w:type w:val="continuous"/>
          <w:pgSz w:w="11907" w:h="16839" w:code="9"/>
          <w:pgMar w:top="1247" w:right="850" w:bottom="1191" w:left="850" w:header="567" w:footer="567" w:gutter="0"/>
          <w:pgNumType w:start="1"/>
          <w:cols w:num="2" w:space="567"/>
          <w:docGrid w:linePitch="360"/>
        </w:sectPr>
      </w:pPr>
    </w:p>
    <w:p w14:paraId="1B700670" w14:textId="381AD012" w:rsidR="00D0567D" w:rsidRPr="0066709A" w:rsidRDefault="00D0567D" w:rsidP="003E113D">
      <w:pPr>
        <w:spacing w:before="120" w:after="120"/>
        <w:jc w:val="both"/>
        <w:rPr>
          <w:rFonts w:ascii="Arial" w:hAnsi="Arial" w:cs="Arial"/>
        </w:rPr>
      </w:pPr>
    </w:p>
    <w:sectPr w:rsidR="00D0567D" w:rsidRPr="0066709A" w:rsidSect="0066709A">
      <w:type w:val="continuous"/>
      <w:pgSz w:w="11907" w:h="16839" w:code="9"/>
      <w:pgMar w:top="1247" w:right="850" w:bottom="1191" w:left="850" w:header="567" w:footer="567" w:gutter="0"/>
      <w:pgNumType w:start="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EE546" w14:textId="77777777" w:rsidR="0060482F" w:rsidRDefault="0060482F" w:rsidP="009334A2">
      <w:r>
        <w:separator/>
      </w:r>
    </w:p>
  </w:endnote>
  <w:endnote w:type="continuationSeparator" w:id="0">
    <w:p w14:paraId="684D471C" w14:textId="77777777" w:rsidR="0060482F" w:rsidRDefault="0060482F" w:rsidP="0093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RomNo9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61FA7" w14:textId="77777777" w:rsidR="00A71203" w:rsidRDefault="00A71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00E7" w14:textId="4B053D6B" w:rsidR="009334A2" w:rsidRPr="00420E4D" w:rsidRDefault="00420E4D" w:rsidP="00420E4D">
    <w:pPr>
      <w:pStyle w:val="Footer"/>
      <w:pBdr>
        <w:top w:val="single" w:sz="24" w:space="1" w:color="0066FF"/>
      </w:pBdr>
      <w:tabs>
        <w:tab w:val="clear" w:pos="4320"/>
        <w:tab w:val="clear" w:pos="8640"/>
        <w:tab w:val="right" w:pos="10207"/>
      </w:tabs>
      <w:rPr>
        <w:b/>
        <w:lang w:val="en-GB"/>
      </w:rPr>
    </w:pPr>
    <w:r w:rsidRPr="00420E4D">
      <w:rPr>
        <w:b/>
        <w:lang w:val="en-GB"/>
      </w:rPr>
      <w:t>LEAVE BLANK</w:t>
    </w:r>
  </w:p>
  <w:p w14:paraId="0DB21056" w14:textId="77777777" w:rsidR="00420E4D" w:rsidRPr="00420E4D" w:rsidRDefault="00420E4D" w:rsidP="0066709A">
    <w:pPr>
      <w:pStyle w:val="Footer"/>
      <w:pBdr>
        <w:top w:val="single" w:sz="24" w:space="1" w:color="0066FF"/>
      </w:pBdr>
      <w:tabs>
        <w:tab w:val="clear" w:pos="4320"/>
        <w:tab w:val="clear" w:pos="8640"/>
        <w:tab w:val="right" w:pos="10207"/>
      </w:tabs>
      <w:jc w:val="left"/>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F29EE" w14:textId="77777777" w:rsidR="00A71203" w:rsidRDefault="00A71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0781A" w14:textId="77777777" w:rsidR="0060482F" w:rsidRDefault="0060482F" w:rsidP="009334A2">
      <w:r>
        <w:separator/>
      </w:r>
    </w:p>
  </w:footnote>
  <w:footnote w:type="continuationSeparator" w:id="0">
    <w:p w14:paraId="776DDDE5" w14:textId="77777777" w:rsidR="0060482F" w:rsidRDefault="0060482F" w:rsidP="0093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E1BE" w14:textId="77777777" w:rsidR="00A71203" w:rsidRDefault="00A71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326E" w14:textId="7E4176A1" w:rsidR="0066709A" w:rsidRDefault="00281239" w:rsidP="0066709A">
    <w:pPr>
      <w:pStyle w:val="Header"/>
      <w:pBdr>
        <w:bottom w:val="single" w:sz="24" w:space="1" w:color="0066FF"/>
      </w:pBdr>
      <w:jc w:val="right"/>
      <w:rPr>
        <w:rFonts w:ascii="NimbusRomNo9L" w:hAnsi="NimbusRomNo9L"/>
        <w:b/>
        <w:sz w:val="16"/>
        <w:lang w:val="en-GB"/>
      </w:rPr>
    </w:pPr>
    <w:sdt>
      <w:sdtPr>
        <w:rPr>
          <w:rFonts w:ascii="NimbusRomNo9L" w:hAnsi="NimbusRomNo9L"/>
          <w:b/>
          <w:sz w:val="16"/>
          <w:lang w:val="en-GB"/>
        </w:rPr>
        <w:id w:val="-1815324650"/>
        <w:docPartObj>
          <w:docPartGallery w:val="Watermarks"/>
          <w:docPartUnique/>
        </w:docPartObj>
      </w:sdtPr>
      <w:sdtEndPr/>
      <w:sdtContent>
        <w:r>
          <w:rPr>
            <w:rFonts w:ascii="NimbusRomNo9L" w:hAnsi="NimbusRomNo9L"/>
            <w:b/>
            <w:noProof/>
            <w:sz w:val="16"/>
            <w:lang w:val="en-GB" w:eastAsia="zh-TW"/>
          </w:rPr>
          <w:pict w14:anchorId="2953D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8393" o:spid="_x0000_s1030" type="#_x0000_t136" style="position:absolute;left:0;text-align:left;margin-left:0;margin-top:0;width:523.3pt;height:196.2pt;rotation:315;z-index:-251655168;mso-position-horizontal:center;mso-position-horizontal-relative:margin;mso-position-vertical:center;mso-position-vertical-relative:margin" o:allowincell="f" fillcolor="gray [1629]" stroked="f">
              <v:textpath style="font-family:&quot;Calibri&quot;;font-size:1pt" string="SCI &amp; TECH"/>
              <w10:wrap anchorx="margin" anchory="margin"/>
            </v:shape>
          </w:pict>
        </w:r>
      </w:sdtContent>
    </w:sdt>
    <w:r>
      <w:rPr>
        <w:rFonts w:ascii="NimbusRomNo9L" w:hAnsi="NimbusRomNo9L"/>
        <w:b/>
        <w:noProof/>
        <w:sz w:val="16"/>
        <w:lang w:val="en-GB" w:eastAsia="en-GB"/>
      </w:rPr>
      <w:pict w14:anchorId="224D6A35">
        <v:shape id="_x0000_s1028" type="#_x0000_t136" style="position:absolute;left:0;text-align:left;margin-left:0;margin-top:0;width:4.5pt;height:1.5pt;z-index:251659264;mso-position-horizontal-relative:text;mso-position-vertical-relative:text">
          <v:fill r:id="rId1" o:title=""/>
          <v:stroke r:id="rId1" o:title=""/>
          <v:shadow color="#868686"/>
          <v:textpath style="font-family:&quot;Arial&quot;;font-size:1pt;v-text-kern:t" trim="t" fitpath="t" string="JMEST"/>
        </v:shape>
      </w:pict>
    </w:r>
  </w:p>
  <w:p w14:paraId="08D1B742" w14:textId="77777777" w:rsidR="00333AB3" w:rsidRDefault="00333AB3" w:rsidP="0066709A">
    <w:pPr>
      <w:pStyle w:val="Header"/>
      <w:pBdr>
        <w:bottom w:val="single" w:sz="24" w:space="1" w:color="0066FF"/>
      </w:pBdr>
      <w:jc w:val="right"/>
      <w:rPr>
        <w:rFonts w:ascii="NimbusRomNo9L" w:hAnsi="NimbusRomNo9L"/>
        <w:b/>
        <w:sz w:val="16"/>
        <w:lang w:val="en-GB"/>
      </w:rPr>
    </w:pPr>
  </w:p>
  <w:p w14:paraId="18EA230A" w14:textId="638567C2" w:rsidR="00814398" w:rsidRPr="00333AB3" w:rsidRDefault="00420E4D" w:rsidP="00814398">
    <w:pPr>
      <w:pStyle w:val="Header"/>
      <w:pBdr>
        <w:bottom w:val="single" w:sz="24" w:space="1" w:color="0066FF"/>
      </w:pBdr>
      <w:rPr>
        <w:rFonts w:ascii="Arial" w:hAnsi="Arial" w:cs="Arial"/>
        <w:b/>
        <w:lang w:val="en-GB"/>
      </w:rPr>
    </w:pPr>
    <w:r w:rsidRPr="00333AB3">
      <w:rPr>
        <w:rFonts w:ascii="Arial" w:hAnsi="Arial" w:cs="Arial"/>
        <w:b/>
        <w:lang w:val="en-GB"/>
      </w:rPr>
      <w:t>LEAVE BLANK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2BA46" w14:textId="77777777" w:rsidR="00A71203" w:rsidRDefault="00A71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89603E"/>
    <w:multiLevelType w:val="multilevel"/>
    <w:tmpl w:val="419EE0AC"/>
    <w:lvl w:ilvl="0">
      <w:start w:val="1"/>
      <w:numFmt w:val="upperRoman"/>
      <w:pStyle w:val="Heading1"/>
      <w:lvlText w:val="%1."/>
      <w:lvlJc w:val="center"/>
      <w:pPr>
        <w:tabs>
          <w:tab w:val="num" w:pos="3744"/>
        </w:tabs>
        <w:ind w:left="0"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5220"/>
        </w:tabs>
        <w:ind w:left="514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 w15:restartNumberingAfterBreak="0">
    <w:nsid w:val="52CA544A"/>
    <w:multiLevelType w:val="singleLevel"/>
    <w:tmpl w:val="19CCE55A"/>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3" w15:restartNumberingAfterBreak="0">
    <w:nsid w:val="6C402C58"/>
    <w:multiLevelType w:val="hybridMultilevel"/>
    <w:tmpl w:val="3C0611EA"/>
    <w:lvl w:ilvl="0" w:tplc="26887F82">
      <w:start w:val="1"/>
      <w:numFmt w:val="decimal"/>
      <w:pStyle w:val="figurecaption"/>
      <w:lvlText w:val="Fig. %1."/>
      <w:lvlJc w:val="left"/>
      <w:pPr>
        <w:ind w:left="3621"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4701"/>
        </w:tabs>
        <w:ind w:left="4701" w:hanging="360"/>
      </w:pPr>
      <w:rPr>
        <w:rFonts w:cs="Times New Roman"/>
      </w:rPr>
    </w:lvl>
    <w:lvl w:ilvl="2" w:tplc="0409001B">
      <w:start w:val="1"/>
      <w:numFmt w:val="lowerRoman"/>
      <w:lvlText w:val="%3."/>
      <w:lvlJc w:val="right"/>
      <w:pPr>
        <w:tabs>
          <w:tab w:val="num" w:pos="5421"/>
        </w:tabs>
        <w:ind w:left="5421" w:hanging="180"/>
      </w:pPr>
      <w:rPr>
        <w:rFonts w:cs="Times New Roman"/>
      </w:rPr>
    </w:lvl>
    <w:lvl w:ilvl="3" w:tplc="0409000F">
      <w:start w:val="1"/>
      <w:numFmt w:val="decimal"/>
      <w:lvlText w:val="%4."/>
      <w:lvlJc w:val="left"/>
      <w:pPr>
        <w:tabs>
          <w:tab w:val="num" w:pos="6141"/>
        </w:tabs>
        <w:ind w:left="6141" w:hanging="360"/>
      </w:pPr>
      <w:rPr>
        <w:rFonts w:cs="Times New Roman"/>
      </w:rPr>
    </w:lvl>
    <w:lvl w:ilvl="4" w:tplc="04090019">
      <w:start w:val="1"/>
      <w:numFmt w:val="lowerLetter"/>
      <w:lvlText w:val="%5."/>
      <w:lvlJc w:val="left"/>
      <w:pPr>
        <w:tabs>
          <w:tab w:val="num" w:pos="6861"/>
        </w:tabs>
        <w:ind w:left="6861" w:hanging="360"/>
      </w:pPr>
      <w:rPr>
        <w:rFonts w:cs="Times New Roman"/>
      </w:rPr>
    </w:lvl>
    <w:lvl w:ilvl="5" w:tplc="0409001B">
      <w:start w:val="1"/>
      <w:numFmt w:val="lowerRoman"/>
      <w:lvlText w:val="%6."/>
      <w:lvlJc w:val="right"/>
      <w:pPr>
        <w:tabs>
          <w:tab w:val="num" w:pos="7581"/>
        </w:tabs>
        <w:ind w:left="7581" w:hanging="180"/>
      </w:pPr>
      <w:rPr>
        <w:rFonts w:cs="Times New Roman"/>
      </w:rPr>
    </w:lvl>
    <w:lvl w:ilvl="6" w:tplc="0409000F">
      <w:start w:val="1"/>
      <w:numFmt w:val="decimal"/>
      <w:lvlText w:val="%7."/>
      <w:lvlJc w:val="left"/>
      <w:pPr>
        <w:tabs>
          <w:tab w:val="num" w:pos="8301"/>
        </w:tabs>
        <w:ind w:left="8301" w:hanging="360"/>
      </w:pPr>
      <w:rPr>
        <w:rFonts w:cs="Times New Roman"/>
      </w:rPr>
    </w:lvl>
    <w:lvl w:ilvl="7" w:tplc="04090019">
      <w:start w:val="1"/>
      <w:numFmt w:val="lowerLetter"/>
      <w:lvlText w:val="%8."/>
      <w:lvlJc w:val="left"/>
      <w:pPr>
        <w:tabs>
          <w:tab w:val="num" w:pos="9021"/>
        </w:tabs>
        <w:ind w:left="9021" w:hanging="360"/>
      </w:pPr>
      <w:rPr>
        <w:rFonts w:cs="Times New Roman"/>
      </w:rPr>
    </w:lvl>
    <w:lvl w:ilvl="8" w:tplc="0409001B">
      <w:start w:val="1"/>
      <w:numFmt w:val="lowerRoman"/>
      <w:lvlText w:val="%9."/>
      <w:lvlJc w:val="right"/>
      <w:pPr>
        <w:tabs>
          <w:tab w:val="num" w:pos="9741"/>
        </w:tabs>
        <w:ind w:left="9741" w:hanging="180"/>
      </w:pPr>
      <w:rPr>
        <w:rFonts w:cs="Times New Roman"/>
      </w:rPr>
    </w:lvl>
  </w:abstractNum>
  <w:abstractNum w:abstractNumId="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5" w15:restartNumberingAfterBreak="0">
    <w:nsid w:val="74B6289E"/>
    <w:multiLevelType w:val="multilevel"/>
    <w:tmpl w:val="C58285FE"/>
    <w:lvl w:ilvl="0">
      <w:start w:val="1"/>
      <w:numFmt w:val="upperRoman"/>
      <w:lvlText w:val="%1."/>
      <w:lvlJc w:val="center"/>
      <w:pPr>
        <w:tabs>
          <w:tab w:val="num" w:pos="387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5220"/>
        </w:tabs>
        <w:ind w:left="514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upperLetter"/>
      <w:lvlText w:val="%3."/>
      <w:lvlJc w:val="left"/>
      <w:pPr>
        <w:tabs>
          <w:tab w:val="num" w:pos="540"/>
        </w:tabs>
        <w:ind w:firstLine="180"/>
      </w:pPr>
      <w:rPr>
        <w:rFonts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2063939319">
    <w:abstractNumId w:val="0"/>
  </w:num>
  <w:num w:numId="2" w16cid:durableId="938485245">
    <w:abstractNumId w:val="3"/>
  </w:num>
  <w:num w:numId="3" w16cid:durableId="780417638">
    <w:abstractNumId w:val="1"/>
  </w:num>
  <w:num w:numId="4" w16cid:durableId="419834979">
    <w:abstractNumId w:val="2"/>
  </w:num>
  <w:num w:numId="5" w16cid:durableId="24796848">
    <w:abstractNumId w:val="4"/>
  </w:num>
  <w:num w:numId="6" w16cid:durableId="1735199518">
    <w:abstractNumId w:val="6"/>
  </w:num>
  <w:num w:numId="7" w16cid:durableId="1338844734">
    <w:abstractNumId w:val="5"/>
  </w:num>
  <w:num w:numId="8" w16cid:durableId="2020963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6283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20736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1757855">
    <w:abstractNumId w:val="1"/>
  </w:num>
  <w:num w:numId="12" w16cid:durableId="694426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4180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9502738">
    <w:abstractNumId w:val="1"/>
  </w:num>
  <w:num w:numId="15" w16cid:durableId="286082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1560909">
    <w:abstractNumId w:val="1"/>
  </w:num>
  <w:num w:numId="17" w16cid:durableId="1604073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56218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5496034">
    <w:abstractNumId w:val="1"/>
  </w:num>
  <w:num w:numId="20" w16cid:durableId="333115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6356278">
    <w:abstractNumId w:val="1"/>
  </w:num>
  <w:num w:numId="22" w16cid:durableId="2242170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4530529">
    <w:abstractNumId w:val="1"/>
  </w:num>
  <w:num w:numId="24" w16cid:durableId="1418749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7383909">
    <w:abstractNumId w:val="1"/>
  </w:num>
  <w:num w:numId="26" w16cid:durableId="1398742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7231079">
    <w:abstractNumId w:val="1"/>
  </w:num>
  <w:num w:numId="28" w16cid:durableId="1778982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1657100">
    <w:abstractNumId w:val="1"/>
  </w:num>
  <w:num w:numId="30" w16cid:durableId="40983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6735550">
    <w:abstractNumId w:val="1"/>
  </w:num>
  <w:num w:numId="32" w16cid:durableId="849953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5055269">
    <w:abstractNumId w:val="1"/>
  </w:num>
  <w:num w:numId="34" w16cid:durableId="568736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0584225">
    <w:abstractNumId w:val="1"/>
  </w:num>
  <w:num w:numId="36" w16cid:durableId="1654408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9539185">
    <w:abstractNumId w:val="1"/>
  </w:num>
  <w:num w:numId="38" w16cid:durableId="2123723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44093901">
    <w:abstractNumId w:val="1"/>
  </w:num>
  <w:num w:numId="40" w16cid:durableId="494079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9733562">
    <w:abstractNumId w:val="1"/>
  </w:num>
  <w:num w:numId="42" w16cid:durableId="1301108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0317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0587276">
    <w:abstractNumId w:val="1"/>
  </w:num>
  <w:num w:numId="45" w16cid:durableId="463156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87277306">
    <w:abstractNumId w:val="1"/>
  </w:num>
  <w:num w:numId="47" w16cid:durableId="905577687">
    <w:abstractNumId w:val="1"/>
  </w:num>
  <w:num w:numId="48" w16cid:durableId="89215298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NTWxMDO1NDY1N7VQ0lEKTi0uzszPAykwNKgFAEoMHnAtAAAA"/>
  </w:docVars>
  <w:rsids>
    <w:rsidRoot w:val="00A3521A"/>
    <w:rsid w:val="00001B01"/>
    <w:rsid w:val="00001DD0"/>
    <w:rsid w:val="000139DC"/>
    <w:rsid w:val="00021666"/>
    <w:rsid w:val="00026820"/>
    <w:rsid w:val="0002696A"/>
    <w:rsid w:val="0003297B"/>
    <w:rsid w:val="00044958"/>
    <w:rsid w:val="00044F85"/>
    <w:rsid w:val="00050055"/>
    <w:rsid w:val="00051184"/>
    <w:rsid w:val="00057AB1"/>
    <w:rsid w:val="00060789"/>
    <w:rsid w:val="00065069"/>
    <w:rsid w:val="00073326"/>
    <w:rsid w:val="00076637"/>
    <w:rsid w:val="00077BC3"/>
    <w:rsid w:val="00096804"/>
    <w:rsid w:val="000A321A"/>
    <w:rsid w:val="000A4400"/>
    <w:rsid w:val="000A7830"/>
    <w:rsid w:val="000C4431"/>
    <w:rsid w:val="000C7CF1"/>
    <w:rsid w:val="000D27AF"/>
    <w:rsid w:val="000E1A92"/>
    <w:rsid w:val="000E64F5"/>
    <w:rsid w:val="000E6CDC"/>
    <w:rsid w:val="000F1E80"/>
    <w:rsid w:val="000F4CF8"/>
    <w:rsid w:val="000F5879"/>
    <w:rsid w:val="000F5FD4"/>
    <w:rsid w:val="0010283F"/>
    <w:rsid w:val="001060BF"/>
    <w:rsid w:val="001106B5"/>
    <w:rsid w:val="00124447"/>
    <w:rsid w:val="00124AAF"/>
    <w:rsid w:val="00126D05"/>
    <w:rsid w:val="00126E6C"/>
    <w:rsid w:val="00137463"/>
    <w:rsid w:val="0014034D"/>
    <w:rsid w:val="00142C3B"/>
    <w:rsid w:val="00146422"/>
    <w:rsid w:val="00153EFE"/>
    <w:rsid w:val="00154A45"/>
    <w:rsid w:val="00155094"/>
    <w:rsid w:val="00157BC4"/>
    <w:rsid w:val="00160E87"/>
    <w:rsid w:val="001639D6"/>
    <w:rsid w:val="0016532F"/>
    <w:rsid w:val="00170ADE"/>
    <w:rsid w:val="00172A28"/>
    <w:rsid w:val="0017762B"/>
    <w:rsid w:val="001851EE"/>
    <w:rsid w:val="001868E3"/>
    <w:rsid w:val="00192E0E"/>
    <w:rsid w:val="001973A7"/>
    <w:rsid w:val="001B4097"/>
    <w:rsid w:val="001B738E"/>
    <w:rsid w:val="001C530D"/>
    <w:rsid w:val="001C6C27"/>
    <w:rsid w:val="001C6E0B"/>
    <w:rsid w:val="001C6E74"/>
    <w:rsid w:val="001C79BF"/>
    <w:rsid w:val="001D30BE"/>
    <w:rsid w:val="001D4D9B"/>
    <w:rsid w:val="001D5FB7"/>
    <w:rsid w:val="001E24BB"/>
    <w:rsid w:val="001E4A78"/>
    <w:rsid w:val="001F3298"/>
    <w:rsid w:val="002043A6"/>
    <w:rsid w:val="00206025"/>
    <w:rsid w:val="00227D42"/>
    <w:rsid w:val="002352A0"/>
    <w:rsid w:val="002355AC"/>
    <w:rsid w:val="0024251F"/>
    <w:rsid w:val="00243B85"/>
    <w:rsid w:val="00244B2C"/>
    <w:rsid w:val="00251192"/>
    <w:rsid w:val="00263B21"/>
    <w:rsid w:val="0026527A"/>
    <w:rsid w:val="0026590F"/>
    <w:rsid w:val="002667A5"/>
    <w:rsid w:val="00277943"/>
    <w:rsid w:val="00281239"/>
    <w:rsid w:val="002830B9"/>
    <w:rsid w:val="00286060"/>
    <w:rsid w:val="002B20EB"/>
    <w:rsid w:val="002B289B"/>
    <w:rsid w:val="002B506C"/>
    <w:rsid w:val="002C0974"/>
    <w:rsid w:val="002C3E3E"/>
    <w:rsid w:val="002D11FD"/>
    <w:rsid w:val="002D31B8"/>
    <w:rsid w:val="002D38E2"/>
    <w:rsid w:val="002E5EF3"/>
    <w:rsid w:val="002E75C2"/>
    <w:rsid w:val="002F035E"/>
    <w:rsid w:val="002F1701"/>
    <w:rsid w:val="002F6D56"/>
    <w:rsid w:val="00300747"/>
    <w:rsid w:val="00305CCD"/>
    <w:rsid w:val="00307BF2"/>
    <w:rsid w:val="003144E4"/>
    <w:rsid w:val="00317514"/>
    <w:rsid w:val="00330795"/>
    <w:rsid w:val="003323D8"/>
    <w:rsid w:val="00333547"/>
    <w:rsid w:val="0033389E"/>
    <w:rsid w:val="00333AB3"/>
    <w:rsid w:val="00337591"/>
    <w:rsid w:val="003415EB"/>
    <w:rsid w:val="0034195E"/>
    <w:rsid w:val="00347422"/>
    <w:rsid w:val="003552B1"/>
    <w:rsid w:val="0036444D"/>
    <w:rsid w:val="00367758"/>
    <w:rsid w:val="00370F71"/>
    <w:rsid w:val="00371340"/>
    <w:rsid w:val="00371914"/>
    <w:rsid w:val="00375B47"/>
    <w:rsid w:val="0039246A"/>
    <w:rsid w:val="003B3562"/>
    <w:rsid w:val="003B6112"/>
    <w:rsid w:val="003C2B39"/>
    <w:rsid w:val="003D190B"/>
    <w:rsid w:val="003E0AA2"/>
    <w:rsid w:val="003E113D"/>
    <w:rsid w:val="003E336D"/>
    <w:rsid w:val="003F0CC5"/>
    <w:rsid w:val="003F2659"/>
    <w:rsid w:val="003F497E"/>
    <w:rsid w:val="00406553"/>
    <w:rsid w:val="00420E4D"/>
    <w:rsid w:val="00433D4D"/>
    <w:rsid w:val="004345A8"/>
    <w:rsid w:val="00436669"/>
    <w:rsid w:val="004375FD"/>
    <w:rsid w:val="00444AA7"/>
    <w:rsid w:val="00444EAA"/>
    <w:rsid w:val="00462230"/>
    <w:rsid w:val="0046495E"/>
    <w:rsid w:val="00470C40"/>
    <w:rsid w:val="00473D0A"/>
    <w:rsid w:val="00480405"/>
    <w:rsid w:val="00486CB5"/>
    <w:rsid w:val="00492C91"/>
    <w:rsid w:val="0049346E"/>
    <w:rsid w:val="00497682"/>
    <w:rsid w:val="004A0C65"/>
    <w:rsid w:val="004A5385"/>
    <w:rsid w:val="004A6118"/>
    <w:rsid w:val="004C3DD8"/>
    <w:rsid w:val="004D3B70"/>
    <w:rsid w:val="004E4429"/>
    <w:rsid w:val="004E707A"/>
    <w:rsid w:val="004F366B"/>
    <w:rsid w:val="00511109"/>
    <w:rsid w:val="00517776"/>
    <w:rsid w:val="00522320"/>
    <w:rsid w:val="005315DB"/>
    <w:rsid w:val="005404F5"/>
    <w:rsid w:val="00562D8E"/>
    <w:rsid w:val="0056350B"/>
    <w:rsid w:val="00571FDF"/>
    <w:rsid w:val="00577D4F"/>
    <w:rsid w:val="005817CE"/>
    <w:rsid w:val="0059350B"/>
    <w:rsid w:val="005A392D"/>
    <w:rsid w:val="005B604A"/>
    <w:rsid w:val="005C5B36"/>
    <w:rsid w:val="005D35F2"/>
    <w:rsid w:val="005D3F69"/>
    <w:rsid w:val="005D5C26"/>
    <w:rsid w:val="005E0CF6"/>
    <w:rsid w:val="005E4226"/>
    <w:rsid w:val="005E42C3"/>
    <w:rsid w:val="005F11C3"/>
    <w:rsid w:val="00603A9C"/>
    <w:rsid w:val="0060482F"/>
    <w:rsid w:val="0061014D"/>
    <w:rsid w:val="00617617"/>
    <w:rsid w:val="0062191E"/>
    <w:rsid w:val="0062498E"/>
    <w:rsid w:val="006255F7"/>
    <w:rsid w:val="00630F30"/>
    <w:rsid w:val="006315D2"/>
    <w:rsid w:val="00633005"/>
    <w:rsid w:val="006336AC"/>
    <w:rsid w:val="0064319C"/>
    <w:rsid w:val="00645A11"/>
    <w:rsid w:val="006504A3"/>
    <w:rsid w:val="0065632B"/>
    <w:rsid w:val="0065715F"/>
    <w:rsid w:val="00665D5C"/>
    <w:rsid w:val="0066709A"/>
    <w:rsid w:val="00667A60"/>
    <w:rsid w:val="006713EC"/>
    <w:rsid w:val="006751CD"/>
    <w:rsid w:val="0069101E"/>
    <w:rsid w:val="006A5825"/>
    <w:rsid w:val="006B5511"/>
    <w:rsid w:val="006B73EC"/>
    <w:rsid w:val="006C49E3"/>
    <w:rsid w:val="006D17FB"/>
    <w:rsid w:val="006E0821"/>
    <w:rsid w:val="006E2448"/>
    <w:rsid w:val="006E2FD8"/>
    <w:rsid w:val="007012F1"/>
    <w:rsid w:val="00702CC0"/>
    <w:rsid w:val="00705BE9"/>
    <w:rsid w:val="0070636E"/>
    <w:rsid w:val="00716022"/>
    <w:rsid w:val="00731C22"/>
    <w:rsid w:val="007327A7"/>
    <w:rsid w:val="00735B27"/>
    <w:rsid w:val="00745736"/>
    <w:rsid w:val="00760F39"/>
    <w:rsid w:val="00762191"/>
    <w:rsid w:val="007638C2"/>
    <w:rsid w:val="00765477"/>
    <w:rsid w:val="00766966"/>
    <w:rsid w:val="00780346"/>
    <w:rsid w:val="007917A2"/>
    <w:rsid w:val="007A07B1"/>
    <w:rsid w:val="007A2113"/>
    <w:rsid w:val="007A7231"/>
    <w:rsid w:val="007B0F0B"/>
    <w:rsid w:val="007C2BA0"/>
    <w:rsid w:val="007D1A35"/>
    <w:rsid w:val="007D2906"/>
    <w:rsid w:val="007D3EAC"/>
    <w:rsid w:val="007D4293"/>
    <w:rsid w:val="007E01C9"/>
    <w:rsid w:val="007E1534"/>
    <w:rsid w:val="007E3E6A"/>
    <w:rsid w:val="007E4082"/>
    <w:rsid w:val="007F2E99"/>
    <w:rsid w:val="00814398"/>
    <w:rsid w:val="0081469D"/>
    <w:rsid w:val="00816BB2"/>
    <w:rsid w:val="008213A5"/>
    <w:rsid w:val="008214CA"/>
    <w:rsid w:val="0082619F"/>
    <w:rsid w:val="008328E3"/>
    <w:rsid w:val="00833ABD"/>
    <w:rsid w:val="00864002"/>
    <w:rsid w:val="00866DE3"/>
    <w:rsid w:val="0087246C"/>
    <w:rsid w:val="00880796"/>
    <w:rsid w:val="008855D6"/>
    <w:rsid w:val="00890ED3"/>
    <w:rsid w:val="008917CD"/>
    <w:rsid w:val="00892823"/>
    <w:rsid w:val="008A6957"/>
    <w:rsid w:val="008B5FA6"/>
    <w:rsid w:val="008B7E58"/>
    <w:rsid w:val="008C5449"/>
    <w:rsid w:val="008C5D33"/>
    <w:rsid w:val="008C72B0"/>
    <w:rsid w:val="008C77A3"/>
    <w:rsid w:val="008D00B5"/>
    <w:rsid w:val="008F0696"/>
    <w:rsid w:val="008F2563"/>
    <w:rsid w:val="008F3BE7"/>
    <w:rsid w:val="00902211"/>
    <w:rsid w:val="00904DFF"/>
    <w:rsid w:val="00907584"/>
    <w:rsid w:val="009140A1"/>
    <w:rsid w:val="009266F3"/>
    <w:rsid w:val="009307AA"/>
    <w:rsid w:val="00931B12"/>
    <w:rsid w:val="00932A6B"/>
    <w:rsid w:val="009334A2"/>
    <w:rsid w:val="00936444"/>
    <w:rsid w:val="00941870"/>
    <w:rsid w:val="0094523F"/>
    <w:rsid w:val="0094533B"/>
    <w:rsid w:val="0094782E"/>
    <w:rsid w:val="0095706C"/>
    <w:rsid w:val="00960805"/>
    <w:rsid w:val="009611A6"/>
    <w:rsid w:val="00975457"/>
    <w:rsid w:val="009771B4"/>
    <w:rsid w:val="00982CE5"/>
    <w:rsid w:val="00990328"/>
    <w:rsid w:val="00991ABE"/>
    <w:rsid w:val="00993A89"/>
    <w:rsid w:val="009A640E"/>
    <w:rsid w:val="009B24FF"/>
    <w:rsid w:val="009B326F"/>
    <w:rsid w:val="009C266F"/>
    <w:rsid w:val="009C61D9"/>
    <w:rsid w:val="009C69E7"/>
    <w:rsid w:val="009D34EE"/>
    <w:rsid w:val="009F4854"/>
    <w:rsid w:val="00A065A8"/>
    <w:rsid w:val="00A125B4"/>
    <w:rsid w:val="00A2160C"/>
    <w:rsid w:val="00A23A52"/>
    <w:rsid w:val="00A2408F"/>
    <w:rsid w:val="00A24B08"/>
    <w:rsid w:val="00A27DC9"/>
    <w:rsid w:val="00A32927"/>
    <w:rsid w:val="00A3521A"/>
    <w:rsid w:val="00A355C6"/>
    <w:rsid w:val="00A35DE6"/>
    <w:rsid w:val="00A44FDA"/>
    <w:rsid w:val="00A50001"/>
    <w:rsid w:val="00A53EED"/>
    <w:rsid w:val="00A60EBD"/>
    <w:rsid w:val="00A61437"/>
    <w:rsid w:val="00A6246E"/>
    <w:rsid w:val="00A659DD"/>
    <w:rsid w:val="00A71203"/>
    <w:rsid w:val="00A7346B"/>
    <w:rsid w:val="00A81ED6"/>
    <w:rsid w:val="00A84831"/>
    <w:rsid w:val="00A851A2"/>
    <w:rsid w:val="00A9051D"/>
    <w:rsid w:val="00AA6CBD"/>
    <w:rsid w:val="00AB06B3"/>
    <w:rsid w:val="00AB0B21"/>
    <w:rsid w:val="00AC2C29"/>
    <w:rsid w:val="00AC2C62"/>
    <w:rsid w:val="00AD415A"/>
    <w:rsid w:val="00AE3D64"/>
    <w:rsid w:val="00AE79FE"/>
    <w:rsid w:val="00AF29C1"/>
    <w:rsid w:val="00AF4D14"/>
    <w:rsid w:val="00AF71CC"/>
    <w:rsid w:val="00B029D9"/>
    <w:rsid w:val="00B17836"/>
    <w:rsid w:val="00B22243"/>
    <w:rsid w:val="00B2517D"/>
    <w:rsid w:val="00B2543D"/>
    <w:rsid w:val="00B258B4"/>
    <w:rsid w:val="00B325DD"/>
    <w:rsid w:val="00B328D3"/>
    <w:rsid w:val="00B3644A"/>
    <w:rsid w:val="00B37282"/>
    <w:rsid w:val="00B41398"/>
    <w:rsid w:val="00B43025"/>
    <w:rsid w:val="00B56708"/>
    <w:rsid w:val="00B620D1"/>
    <w:rsid w:val="00B73B4B"/>
    <w:rsid w:val="00B75F6B"/>
    <w:rsid w:val="00B80C0B"/>
    <w:rsid w:val="00B821C0"/>
    <w:rsid w:val="00B845E5"/>
    <w:rsid w:val="00B85CDF"/>
    <w:rsid w:val="00B85FAA"/>
    <w:rsid w:val="00B87689"/>
    <w:rsid w:val="00B912F9"/>
    <w:rsid w:val="00B96DDC"/>
    <w:rsid w:val="00BB2B73"/>
    <w:rsid w:val="00BB63AB"/>
    <w:rsid w:val="00BC0B2A"/>
    <w:rsid w:val="00BD3833"/>
    <w:rsid w:val="00BD6825"/>
    <w:rsid w:val="00BE1268"/>
    <w:rsid w:val="00BE1EAE"/>
    <w:rsid w:val="00BE2D8F"/>
    <w:rsid w:val="00BE6031"/>
    <w:rsid w:val="00BE673C"/>
    <w:rsid w:val="00BF6D66"/>
    <w:rsid w:val="00BF6F45"/>
    <w:rsid w:val="00C07CC0"/>
    <w:rsid w:val="00C07F68"/>
    <w:rsid w:val="00C1016C"/>
    <w:rsid w:val="00C12231"/>
    <w:rsid w:val="00C1385B"/>
    <w:rsid w:val="00C16C6C"/>
    <w:rsid w:val="00C26E1A"/>
    <w:rsid w:val="00C32D3E"/>
    <w:rsid w:val="00C33476"/>
    <w:rsid w:val="00C430E5"/>
    <w:rsid w:val="00C46859"/>
    <w:rsid w:val="00C5237F"/>
    <w:rsid w:val="00C63E8C"/>
    <w:rsid w:val="00C667E2"/>
    <w:rsid w:val="00C7075E"/>
    <w:rsid w:val="00C80F93"/>
    <w:rsid w:val="00C81352"/>
    <w:rsid w:val="00C86485"/>
    <w:rsid w:val="00C932DA"/>
    <w:rsid w:val="00C94E12"/>
    <w:rsid w:val="00C94F82"/>
    <w:rsid w:val="00CA3D1B"/>
    <w:rsid w:val="00CB5CC8"/>
    <w:rsid w:val="00CC1DEE"/>
    <w:rsid w:val="00CC770E"/>
    <w:rsid w:val="00CD2ECC"/>
    <w:rsid w:val="00CD6620"/>
    <w:rsid w:val="00CE3DE1"/>
    <w:rsid w:val="00CF1278"/>
    <w:rsid w:val="00CF485B"/>
    <w:rsid w:val="00CF700C"/>
    <w:rsid w:val="00D05185"/>
    <w:rsid w:val="00D0567D"/>
    <w:rsid w:val="00D078C7"/>
    <w:rsid w:val="00D209FC"/>
    <w:rsid w:val="00D35146"/>
    <w:rsid w:val="00D367B8"/>
    <w:rsid w:val="00D400CB"/>
    <w:rsid w:val="00D50572"/>
    <w:rsid w:val="00D55302"/>
    <w:rsid w:val="00D7560D"/>
    <w:rsid w:val="00D76ACA"/>
    <w:rsid w:val="00D82FAF"/>
    <w:rsid w:val="00D847CB"/>
    <w:rsid w:val="00D86AD9"/>
    <w:rsid w:val="00D974F5"/>
    <w:rsid w:val="00DB5D98"/>
    <w:rsid w:val="00DC1C18"/>
    <w:rsid w:val="00DC4B86"/>
    <w:rsid w:val="00DD0C86"/>
    <w:rsid w:val="00DE075C"/>
    <w:rsid w:val="00DE12EE"/>
    <w:rsid w:val="00DE47C9"/>
    <w:rsid w:val="00DF1F7D"/>
    <w:rsid w:val="00DF25FD"/>
    <w:rsid w:val="00DF71D9"/>
    <w:rsid w:val="00E01A38"/>
    <w:rsid w:val="00E02E14"/>
    <w:rsid w:val="00E317BA"/>
    <w:rsid w:val="00E359F7"/>
    <w:rsid w:val="00E376D8"/>
    <w:rsid w:val="00E40141"/>
    <w:rsid w:val="00E568C9"/>
    <w:rsid w:val="00E628A3"/>
    <w:rsid w:val="00E6437A"/>
    <w:rsid w:val="00E65D27"/>
    <w:rsid w:val="00E80D5B"/>
    <w:rsid w:val="00E84599"/>
    <w:rsid w:val="00E86DC3"/>
    <w:rsid w:val="00E9103A"/>
    <w:rsid w:val="00E91934"/>
    <w:rsid w:val="00E93893"/>
    <w:rsid w:val="00E964D1"/>
    <w:rsid w:val="00E96ADE"/>
    <w:rsid w:val="00EA2089"/>
    <w:rsid w:val="00EA75CA"/>
    <w:rsid w:val="00EB1D3F"/>
    <w:rsid w:val="00EB32B3"/>
    <w:rsid w:val="00ED3B3E"/>
    <w:rsid w:val="00ED3C15"/>
    <w:rsid w:val="00ED481B"/>
    <w:rsid w:val="00EF318F"/>
    <w:rsid w:val="00EF3F62"/>
    <w:rsid w:val="00EF5BFD"/>
    <w:rsid w:val="00F00FD2"/>
    <w:rsid w:val="00F016D0"/>
    <w:rsid w:val="00F02401"/>
    <w:rsid w:val="00F0372F"/>
    <w:rsid w:val="00F06C4A"/>
    <w:rsid w:val="00F06C56"/>
    <w:rsid w:val="00F17D50"/>
    <w:rsid w:val="00F2288B"/>
    <w:rsid w:val="00F3708A"/>
    <w:rsid w:val="00F4016B"/>
    <w:rsid w:val="00F447A0"/>
    <w:rsid w:val="00F543D0"/>
    <w:rsid w:val="00F632C2"/>
    <w:rsid w:val="00F63DFC"/>
    <w:rsid w:val="00F64089"/>
    <w:rsid w:val="00F65FE8"/>
    <w:rsid w:val="00F730F0"/>
    <w:rsid w:val="00F7669E"/>
    <w:rsid w:val="00F778F9"/>
    <w:rsid w:val="00F823F4"/>
    <w:rsid w:val="00F83891"/>
    <w:rsid w:val="00F86A29"/>
    <w:rsid w:val="00F92D92"/>
    <w:rsid w:val="00F93D3E"/>
    <w:rsid w:val="00F94A5F"/>
    <w:rsid w:val="00FA1E1E"/>
    <w:rsid w:val="00FA25EC"/>
    <w:rsid w:val="00FA2711"/>
    <w:rsid w:val="00FB54EB"/>
    <w:rsid w:val="00FC4AE3"/>
    <w:rsid w:val="00FC6CB1"/>
    <w:rsid w:val="00FD32CC"/>
    <w:rsid w:val="00FD457B"/>
    <w:rsid w:val="00FE08A3"/>
    <w:rsid w:val="00FE669E"/>
    <w:rsid w:val="00FF3199"/>
    <w:rsid w:val="00FF7556"/>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1D4FA3"/>
  <w14:defaultImageDpi w14:val="330"/>
  <w15:docId w15:val="{F59DBBA3-97B7-4319-AB4F-58808A26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1A"/>
    <w:pPr>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A3521A"/>
    <w:pPr>
      <w:keepNext/>
      <w:keepLines/>
      <w:numPr>
        <w:numId w:val="3"/>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A3521A"/>
    <w:pPr>
      <w:keepNext/>
      <w:keepLines/>
      <w:numPr>
        <w:ilvl w:val="1"/>
        <w:numId w:val="3"/>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A3521A"/>
    <w:pPr>
      <w:numPr>
        <w:ilvl w:val="2"/>
        <w:numId w:val="3"/>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A3521A"/>
    <w:pPr>
      <w:numPr>
        <w:ilvl w:val="3"/>
        <w:numId w:val="3"/>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9"/>
    <w:qFormat/>
    <w:rsid w:val="00A3521A"/>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21A"/>
    <w:rPr>
      <w:rFonts w:ascii="Times New Roman" w:eastAsia="Times New Roman" w:hAnsi="Times New Roman" w:cs="Times New Roman"/>
      <w:smallCaps/>
      <w:noProof/>
      <w:sz w:val="20"/>
      <w:szCs w:val="20"/>
    </w:rPr>
  </w:style>
  <w:style w:type="character" w:customStyle="1" w:styleId="Heading2Char">
    <w:name w:val="Heading 2 Char"/>
    <w:basedOn w:val="DefaultParagraphFont"/>
    <w:link w:val="Heading2"/>
    <w:uiPriority w:val="99"/>
    <w:rsid w:val="00A3521A"/>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3521A"/>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3521A"/>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A3521A"/>
    <w:rPr>
      <w:rFonts w:ascii="Times New Roman" w:eastAsia="Times New Roman" w:hAnsi="Times New Roman" w:cs="Times New Roman"/>
      <w:smallCaps/>
      <w:noProof/>
      <w:sz w:val="20"/>
      <w:szCs w:val="20"/>
    </w:rPr>
  </w:style>
  <w:style w:type="paragraph" w:customStyle="1" w:styleId="Abstract">
    <w:name w:val="Abstract"/>
    <w:uiPriority w:val="99"/>
    <w:rsid w:val="00A3521A"/>
    <w:pPr>
      <w:spacing w:after="200"/>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A3521A"/>
    <w:pPr>
      <w:jc w:val="center"/>
    </w:pPr>
    <w:rPr>
      <w:rFonts w:ascii="Times New Roman" w:eastAsia="Times New Roman" w:hAnsi="Times New Roman" w:cs="Times New Roman"/>
      <w:sz w:val="20"/>
      <w:szCs w:val="20"/>
    </w:rPr>
  </w:style>
  <w:style w:type="paragraph" w:customStyle="1" w:styleId="Author">
    <w:name w:val="Author"/>
    <w:uiPriority w:val="99"/>
    <w:rsid w:val="00A3521A"/>
    <w:pPr>
      <w:spacing w:before="360" w:after="40"/>
      <w:jc w:val="center"/>
    </w:pPr>
    <w:rPr>
      <w:rFonts w:ascii="Times New Roman" w:eastAsia="Times New Roman" w:hAnsi="Times New Roman" w:cs="Times New Roman"/>
      <w:noProof/>
      <w:sz w:val="22"/>
      <w:szCs w:val="22"/>
    </w:rPr>
  </w:style>
  <w:style w:type="paragraph" w:styleId="BodyText">
    <w:name w:val="Body Text"/>
    <w:basedOn w:val="Normal"/>
    <w:link w:val="BodyTextChar"/>
    <w:uiPriority w:val="99"/>
    <w:rsid w:val="00A3521A"/>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A3521A"/>
    <w:rPr>
      <w:rFonts w:ascii="Times New Roman" w:eastAsia="MS Mincho" w:hAnsi="Times New Roman" w:cs="Times New Roman"/>
      <w:spacing w:val="-1"/>
      <w:sz w:val="20"/>
      <w:szCs w:val="20"/>
    </w:rPr>
  </w:style>
  <w:style w:type="paragraph" w:customStyle="1" w:styleId="bulletlist">
    <w:name w:val="bullet list"/>
    <w:basedOn w:val="BodyText"/>
    <w:rsid w:val="00A3521A"/>
    <w:pPr>
      <w:numPr>
        <w:numId w:val="1"/>
      </w:numPr>
      <w:tabs>
        <w:tab w:val="clear" w:pos="648"/>
      </w:tabs>
      <w:ind w:left="576" w:hanging="288"/>
    </w:pPr>
  </w:style>
  <w:style w:type="paragraph" w:customStyle="1" w:styleId="equation">
    <w:name w:val="equation"/>
    <w:basedOn w:val="Normal"/>
    <w:uiPriority w:val="99"/>
    <w:rsid w:val="00A3521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A3521A"/>
    <w:pPr>
      <w:numPr>
        <w:numId w:val="2"/>
      </w:numPr>
      <w:tabs>
        <w:tab w:val="left" w:pos="533"/>
      </w:tabs>
      <w:spacing w:before="80" w:after="200"/>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A3521A"/>
    <w:pPr>
      <w:spacing w:after="120"/>
      <w:ind w:firstLine="274"/>
      <w:jc w:val="both"/>
    </w:pPr>
    <w:rPr>
      <w:rFonts w:ascii="Times New Roman" w:eastAsia="Times New Roman" w:hAnsi="Times New Roman" w:cs="Times New Roman"/>
      <w:b/>
      <w:bCs/>
      <w:i/>
      <w:iCs/>
      <w:noProof/>
      <w:sz w:val="18"/>
      <w:szCs w:val="18"/>
    </w:rPr>
  </w:style>
  <w:style w:type="paragraph" w:customStyle="1" w:styleId="papersubtitle">
    <w:name w:val="paper subtitle"/>
    <w:uiPriority w:val="99"/>
    <w:rsid w:val="00A3521A"/>
    <w:pPr>
      <w:spacing w:after="120"/>
      <w:jc w:val="center"/>
    </w:pPr>
    <w:rPr>
      <w:rFonts w:ascii="Times New Roman" w:eastAsia="Times New Roman" w:hAnsi="Times New Roman" w:cs="Times New Roman"/>
      <w:bCs/>
      <w:noProof/>
      <w:sz w:val="28"/>
      <w:szCs w:val="28"/>
    </w:rPr>
  </w:style>
  <w:style w:type="paragraph" w:customStyle="1" w:styleId="papertitle">
    <w:name w:val="paper title"/>
    <w:uiPriority w:val="99"/>
    <w:rsid w:val="00A3521A"/>
    <w:pPr>
      <w:spacing w:after="120"/>
      <w:jc w:val="center"/>
    </w:pPr>
    <w:rPr>
      <w:rFonts w:ascii="Times New Roman" w:eastAsia="Times New Roman" w:hAnsi="Times New Roman" w:cs="Times New Roman"/>
      <w:bCs/>
      <w:noProof/>
      <w:sz w:val="48"/>
      <w:szCs w:val="48"/>
    </w:rPr>
  </w:style>
  <w:style w:type="paragraph" w:customStyle="1" w:styleId="references">
    <w:name w:val="references"/>
    <w:uiPriority w:val="99"/>
    <w:rsid w:val="00A3521A"/>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sponsors">
    <w:name w:val="sponsors"/>
    <w:rsid w:val="00A3521A"/>
    <w:pPr>
      <w:framePr w:wrap="auto" w:hAnchor="text" w:x="615" w:y="2239"/>
      <w:pBdr>
        <w:top w:val="single" w:sz="4" w:space="2" w:color="auto"/>
      </w:pBdr>
      <w:ind w:firstLine="288"/>
    </w:pPr>
    <w:rPr>
      <w:rFonts w:ascii="Times New Roman" w:eastAsia="Times New Roman" w:hAnsi="Times New Roman" w:cs="Times New Roman"/>
      <w:sz w:val="16"/>
      <w:szCs w:val="16"/>
    </w:rPr>
  </w:style>
  <w:style w:type="paragraph" w:customStyle="1" w:styleId="tablecolhead">
    <w:name w:val="table col head"/>
    <w:basedOn w:val="Normal"/>
    <w:uiPriority w:val="99"/>
    <w:rsid w:val="00A3521A"/>
    <w:rPr>
      <w:b/>
      <w:bCs/>
      <w:sz w:val="16"/>
      <w:szCs w:val="16"/>
    </w:rPr>
  </w:style>
  <w:style w:type="paragraph" w:customStyle="1" w:styleId="tablecolsubhead">
    <w:name w:val="table col subhead"/>
    <w:basedOn w:val="tablecolhead"/>
    <w:uiPriority w:val="99"/>
    <w:rsid w:val="00A3521A"/>
    <w:rPr>
      <w:i/>
      <w:iCs/>
      <w:sz w:val="15"/>
      <w:szCs w:val="15"/>
    </w:rPr>
  </w:style>
  <w:style w:type="paragraph" w:customStyle="1" w:styleId="tablecopy">
    <w:name w:val="table copy"/>
    <w:uiPriority w:val="99"/>
    <w:rsid w:val="00A3521A"/>
    <w:pPr>
      <w:jc w:val="both"/>
    </w:pPr>
    <w:rPr>
      <w:rFonts w:ascii="Times New Roman" w:eastAsia="Times New Roman" w:hAnsi="Times New Roman" w:cs="Times New Roman"/>
      <w:noProof/>
      <w:sz w:val="16"/>
      <w:szCs w:val="16"/>
    </w:rPr>
  </w:style>
  <w:style w:type="paragraph" w:customStyle="1" w:styleId="tablefootnote">
    <w:name w:val="table footnote"/>
    <w:uiPriority w:val="99"/>
    <w:rsid w:val="00A3521A"/>
    <w:pPr>
      <w:numPr>
        <w:numId w:val="6"/>
      </w:numPr>
      <w:tabs>
        <w:tab w:val="left" w:pos="29"/>
      </w:tabs>
      <w:spacing w:before="60" w:after="30"/>
      <w:ind w:left="360"/>
      <w:jc w:val="right"/>
    </w:pPr>
    <w:rPr>
      <w:rFonts w:ascii="Times New Roman" w:eastAsia="MS Mincho" w:hAnsi="Times New Roman" w:cs="Times New Roman"/>
      <w:sz w:val="12"/>
      <w:szCs w:val="12"/>
    </w:rPr>
  </w:style>
  <w:style w:type="paragraph" w:customStyle="1" w:styleId="tablehead">
    <w:name w:val="table head"/>
    <w:uiPriority w:val="99"/>
    <w:rsid w:val="00A3521A"/>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Footer">
    <w:name w:val="footer"/>
    <w:basedOn w:val="Normal"/>
    <w:link w:val="FooterChar"/>
    <w:uiPriority w:val="99"/>
    <w:unhideWhenUsed/>
    <w:rsid w:val="009334A2"/>
    <w:pPr>
      <w:tabs>
        <w:tab w:val="center" w:pos="4320"/>
        <w:tab w:val="right" w:pos="8640"/>
      </w:tabs>
    </w:pPr>
  </w:style>
  <w:style w:type="character" w:customStyle="1" w:styleId="FooterChar">
    <w:name w:val="Footer Char"/>
    <w:basedOn w:val="DefaultParagraphFont"/>
    <w:link w:val="Footer"/>
    <w:uiPriority w:val="99"/>
    <w:rsid w:val="009334A2"/>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9334A2"/>
  </w:style>
  <w:style w:type="paragraph" w:styleId="Header">
    <w:name w:val="header"/>
    <w:basedOn w:val="Normal"/>
    <w:link w:val="HeaderChar"/>
    <w:uiPriority w:val="99"/>
    <w:unhideWhenUsed/>
    <w:rsid w:val="009334A2"/>
    <w:pPr>
      <w:tabs>
        <w:tab w:val="center" w:pos="4320"/>
        <w:tab w:val="right" w:pos="8640"/>
      </w:tabs>
    </w:pPr>
  </w:style>
  <w:style w:type="character" w:customStyle="1" w:styleId="HeaderChar">
    <w:name w:val="Header Char"/>
    <w:basedOn w:val="DefaultParagraphFont"/>
    <w:link w:val="Header"/>
    <w:uiPriority w:val="99"/>
    <w:rsid w:val="009334A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334A2"/>
    <w:rPr>
      <w:color w:val="0000FF" w:themeColor="hyperlink"/>
      <w:u w:val="single"/>
    </w:rPr>
  </w:style>
  <w:style w:type="paragraph" w:styleId="BalloonText">
    <w:name w:val="Balloon Text"/>
    <w:basedOn w:val="Normal"/>
    <w:link w:val="BalloonTextChar"/>
    <w:uiPriority w:val="99"/>
    <w:semiHidden/>
    <w:unhideWhenUsed/>
    <w:rsid w:val="001C530D"/>
    <w:rPr>
      <w:rFonts w:ascii="Tahoma" w:hAnsi="Tahoma" w:cs="Tahoma"/>
      <w:sz w:val="16"/>
      <w:szCs w:val="16"/>
    </w:rPr>
  </w:style>
  <w:style w:type="character" w:customStyle="1" w:styleId="BalloonTextChar">
    <w:name w:val="Balloon Text Char"/>
    <w:basedOn w:val="DefaultParagraphFont"/>
    <w:link w:val="BalloonText"/>
    <w:uiPriority w:val="99"/>
    <w:semiHidden/>
    <w:rsid w:val="001C530D"/>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86DC3"/>
    <w:rPr>
      <w:color w:val="605E5C"/>
      <w:shd w:val="clear" w:color="auto" w:fill="E1DFDD"/>
    </w:rPr>
  </w:style>
  <w:style w:type="paragraph" w:styleId="ListParagraph">
    <w:name w:val="List Paragraph"/>
    <w:basedOn w:val="Normal"/>
    <w:uiPriority w:val="34"/>
    <w:qFormat/>
    <w:rsid w:val="001C6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theguardian.com/world/article/2024/jul/18/first-edition-kenya-public-protests-finance-bil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entralbank.go.ke/statistics/government-finance-statistic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3189/aeb.2020.080202" TargetMode="External"/><Relationship Id="rId25" Type="http://schemas.openxmlformats.org/officeDocument/2006/relationships/hyperlink" Target="https://doi.org/10.1016/j.mex.2021.101501"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standardmedia.co.ke/national/article/2001513157/shif-private-hospitals-warn-system-could-collapse-in-12-month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2478/foli-2020-0001"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knbs.or.ke/wp-content/uploads/2024/06/Kenya-Consumer-Price-Indices-Article-on-CPI.pdf" TargetMode="External"/><Relationship Id="rId10" Type="http://schemas.openxmlformats.org/officeDocument/2006/relationships/footer" Target="footer1.xml"/><Relationship Id="rId19" Type="http://schemas.openxmlformats.org/officeDocument/2006/relationships/hyperlink" Target="https://doi.org/10.1108/s0161-72302023000003800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s://www.centralbank.go.ke/inflation-rates/"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87A8AF5-EBC1-441A-9524-A27E9421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4</Pages>
  <Words>2156</Words>
  <Characters>13112</Characters>
  <Application>Microsoft Office Word</Application>
  <DocSecurity>0</DocSecurity>
  <Lines>364</Lines>
  <Paragraphs>60</Paragraphs>
  <ScaleCrop>false</ScaleCrop>
  <HeadingPairs>
    <vt:vector size="2" baseType="variant">
      <vt:variant>
        <vt:lpstr>Title</vt:lpstr>
      </vt:variant>
      <vt:variant>
        <vt:i4>1</vt:i4>
      </vt:variant>
    </vt:vector>
  </HeadingPairs>
  <TitlesOfParts>
    <vt:vector size="1" baseType="lpstr">
      <vt:lpstr>Leadership</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to Decision</dc:title>
  <dc:creator>Dr. Jeff Ulmer</dc:creator>
  <cp:keywords>Wachania, Ulmer</cp:keywords>
  <cp:lastModifiedBy>Dr. Jeff Ulmer</cp:lastModifiedBy>
  <cp:revision>415</cp:revision>
  <cp:lastPrinted>2022-01-15T15:31:00Z</cp:lastPrinted>
  <dcterms:created xsi:type="dcterms:W3CDTF">2017-01-03T09:42:00Z</dcterms:created>
  <dcterms:modified xsi:type="dcterms:W3CDTF">2025-05-12T21:38:00Z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63c12996-3a34-4450-921c-9db849ce6582</vt:lpwstr>
  </property>
</Properties>
</file>